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3F3F3"/>
        <w:tblCellMar>
          <w:left w:w="0" w:type="dxa"/>
          <w:right w:w="0" w:type="dxa"/>
        </w:tblCellMar>
        <w:tblLook w:val="04A0"/>
      </w:tblPr>
      <w:tblGrid>
        <w:gridCol w:w="9072"/>
      </w:tblGrid>
      <w:tr w:rsidR="00806B22" w:rsidRPr="00806B22" w:rsidTr="00806B22">
        <w:trPr>
          <w:tblCellSpacing w:w="0" w:type="dxa"/>
        </w:trPr>
        <w:tc>
          <w:tcPr>
            <w:tcW w:w="0" w:type="auto"/>
            <w:shd w:val="clear" w:color="auto" w:fill="FFCC00"/>
            <w:vAlign w:val="center"/>
            <w:hideMark/>
          </w:tcPr>
          <w:p w:rsidR="00806B22" w:rsidRPr="00806B22" w:rsidRDefault="00806B22" w:rsidP="00806B22">
            <w:pPr>
              <w:spacing w:after="0" w:line="240" w:lineRule="auto"/>
              <w:rPr>
                <w:rFonts w:ascii="Arial" w:eastAsia="Times New Roman" w:hAnsi="Arial" w:cs="Arial"/>
                <w:b/>
                <w:bCs/>
                <w:color w:val="000000"/>
                <w:sz w:val="18"/>
                <w:szCs w:val="14"/>
                <w:lang w:eastAsia="tr-TR"/>
              </w:rPr>
            </w:pPr>
            <w:r w:rsidRPr="00806B22">
              <w:rPr>
                <w:rFonts w:ascii="Arial" w:eastAsia="Times New Roman" w:hAnsi="Arial" w:cs="Arial"/>
                <w:b/>
                <w:bCs/>
                <w:color w:val="000000"/>
                <w:sz w:val="18"/>
                <w:szCs w:val="14"/>
                <w:lang w:eastAsia="tr-TR"/>
              </w:rPr>
              <w:t>İhtisas Gümrüğü Uygulaması</w:t>
            </w:r>
          </w:p>
        </w:tc>
      </w:tr>
    </w:tbl>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  </w:t>
      </w:r>
    </w:p>
    <w:tbl>
      <w:tblPr>
        <w:tblW w:w="4000" w:type="pct"/>
        <w:tblCellSpacing w:w="15" w:type="dxa"/>
        <w:tblCellMar>
          <w:top w:w="15" w:type="dxa"/>
          <w:left w:w="15" w:type="dxa"/>
          <w:bottom w:w="15" w:type="dxa"/>
          <w:right w:w="15" w:type="dxa"/>
        </w:tblCellMar>
        <w:tblLook w:val="04A0"/>
      </w:tblPr>
      <w:tblGrid>
        <w:gridCol w:w="7330"/>
      </w:tblGrid>
      <w:tr w:rsidR="00806B22" w:rsidRPr="00806B22" w:rsidTr="00806B22">
        <w:trPr>
          <w:tblCellSpacing w:w="15" w:type="dxa"/>
        </w:trPr>
        <w:tc>
          <w:tcPr>
            <w:tcW w:w="50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FF0000"/>
                <w:sz w:val="17"/>
                <w:szCs w:val="17"/>
                <w:lang w:eastAsia="tr-TR"/>
              </w:rPr>
              <w:t>T.C.</w:t>
            </w:r>
          </w:p>
        </w:tc>
      </w:tr>
      <w:tr w:rsidR="00806B22" w:rsidRPr="00806B22" w:rsidTr="00806B22">
        <w:trPr>
          <w:tblCellSpacing w:w="15" w:type="dxa"/>
        </w:trPr>
        <w:tc>
          <w:tcPr>
            <w:tcW w:w="50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FF0000"/>
                <w:sz w:val="17"/>
                <w:szCs w:val="17"/>
                <w:lang w:eastAsia="tr-TR"/>
              </w:rPr>
              <w:t>BAŞBAKANLIK</w:t>
            </w:r>
          </w:p>
        </w:tc>
      </w:tr>
      <w:tr w:rsidR="00806B22" w:rsidRPr="00806B22" w:rsidTr="00806B22">
        <w:trPr>
          <w:tblCellSpacing w:w="15" w:type="dxa"/>
        </w:trPr>
        <w:tc>
          <w:tcPr>
            <w:tcW w:w="50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FF0000"/>
                <w:sz w:val="17"/>
                <w:szCs w:val="17"/>
                <w:lang w:eastAsia="tr-TR"/>
              </w:rPr>
              <w:t>Gümrük Müsteşarlığı Gümrükler Genel Müdürlüğü</w:t>
            </w:r>
          </w:p>
        </w:tc>
      </w:tr>
    </w:tbl>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Sayı : B</w:t>
      </w:r>
      <w:proofErr w:type="gramEnd"/>
      <w:r w:rsidRPr="00806B22">
        <w:rPr>
          <w:rFonts w:ascii="Arial" w:eastAsia="Times New Roman" w:hAnsi="Arial" w:cs="Arial"/>
          <w:color w:val="000000"/>
          <w:sz w:val="17"/>
          <w:szCs w:val="17"/>
          <w:lang w:eastAsia="tr-TR"/>
        </w:rPr>
        <w:t xml:space="preserve">.02.1.GÜM.0.06.09.00.10.06.01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b/>
          <w:bCs/>
          <w:color w:val="000000"/>
          <w:sz w:val="17"/>
          <w:szCs w:val="17"/>
          <w:lang w:eastAsia="tr-TR"/>
        </w:rPr>
        <w:t>Konu :</w:t>
      </w:r>
      <w:r w:rsidRPr="00806B22">
        <w:rPr>
          <w:rFonts w:ascii="Arial" w:eastAsia="Times New Roman" w:hAnsi="Arial" w:cs="Arial"/>
          <w:color w:val="000000"/>
          <w:sz w:val="17"/>
          <w:szCs w:val="17"/>
          <w:lang w:eastAsia="tr-TR"/>
        </w:rPr>
        <w:t xml:space="preserve"> İhtisas</w:t>
      </w:r>
      <w:proofErr w:type="gramEnd"/>
      <w:r w:rsidRPr="00806B22">
        <w:rPr>
          <w:rFonts w:ascii="Arial" w:eastAsia="Times New Roman" w:hAnsi="Arial" w:cs="Arial"/>
          <w:color w:val="000000"/>
          <w:sz w:val="17"/>
          <w:szCs w:val="17"/>
          <w:lang w:eastAsia="tr-TR"/>
        </w:rPr>
        <w:t xml:space="preserve"> Gümrüğü Genelgesi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  </w:t>
      </w:r>
    </w:p>
    <w:tbl>
      <w:tblPr>
        <w:tblW w:w="4000" w:type="pct"/>
        <w:tblCellSpacing w:w="15" w:type="dxa"/>
        <w:tblCellMar>
          <w:top w:w="15" w:type="dxa"/>
          <w:left w:w="15" w:type="dxa"/>
          <w:bottom w:w="15" w:type="dxa"/>
          <w:right w:w="15" w:type="dxa"/>
        </w:tblCellMar>
        <w:tblLook w:val="04A0"/>
      </w:tblPr>
      <w:tblGrid>
        <w:gridCol w:w="7330"/>
      </w:tblGrid>
      <w:tr w:rsidR="00806B22" w:rsidRPr="00806B22" w:rsidTr="00806B22">
        <w:trPr>
          <w:tblCellSpacing w:w="15" w:type="dxa"/>
        </w:trPr>
        <w:tc>
          <w:tcPr>
            <w:tcW w:w="50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FF0000"/>
                <w:sz w:val="17"/>
                <w:szCs w:val="17"/>
                <w:lang w:eastAsia="tr-TR"/>
              </w:rPr>
              <w:t>21/1/2011</w:t>
            </w:r>
            <w:proofErr w:type="gramEnd"/>
          </w:p>
        </w:tc>
      </w:tr>
      <w:tr w:rsidR="00806B22" w:rsidRPr="00806B22" w:rsidTr="00806B22">
        <w:trPr>
          <w:tblCellSpacing w:w="15" w:type="dxa"/>
        </w:trPr>
        <w:tc>
          <w:tcPr>
            <w:tcW w:w="50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FF0000"/>
                <w:sz w:val="17"/>
                <w:szCs w:val="17"/>
                <w:lang w:eastAsia="tr-TR"/>
              </w:rPr>
              <w:t>GENELGE</w:t>
            </w:r>
          </w:p>
        </w:tc>
      </w:tr>
      <w:tr w:rsidR="00806B22" w:rsidRPr="00806B22" w:rsidTr="00806B22">
        <w:trPr>
          <w:tblCellSpacing w:w="15" w:type="dxa"/>
        </w:trPr>
        <w:tc>
          <w:tcPr>
            <w:tcW w:w="50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FF0000"/>
                <w:sz w:val="17"/>
                <w:szCs w:val="17"/>
                <w:lang w:eastAsia="tr-TR"/>
              </w:rPr>
              <w:t>(2011/3)</w:t>
            </w:r>
          </w:p>
        </w:tc>
      </w:tr>
    </w:tbl>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Halen </w:t>
      </w:r>
      <w:hyperlink r:id="rId5" w:anchor="M1" w:history="1">
        <w:r w:rsidRPr="00806B22">
          <w:rPr>
            <w:rFonts w:ascii="Arial" w:eastAsia="Times New Roman" w:hAnsi="Arial" w:cs="Arial"/>
            <w:color w:val="000080"/>
            <w:sz w:val="17"/>
            <w:u w:val="single"/>
            <w:lang w:eastAsia="tr-TR"/>
          </w:rPr>
          <w:t>halı</w:t>
        </w:r>
      </w:hyperlink>
      <w:r w:rsidRPr="00806B22">
        <w:rPr>
          <w:rFonts w:ascii="Arial" w:eastAsia="Times New Roman" w:hAnsi="Arial" w:cs="Arial"/>
          <w:color w:val="000000"/>
          <w:sz w:val="17"/>
          <w:szCs w:val="17"/>
          <w:lang w:eastAsia="tr-TR"/>
        </w:rPr>
        <w:t xml:space="preserve">, </w:t>
      </w:r>
      <w:hyperlink r:id="rId6" w:anchor="M2" w:history="1">
        <w:r w:rsidRPr="00806B22">
          <w:rPr>
            <w:rFonts w:ascii="Arial" w:eastAsia="Times New Roman" w:hAnsi="Arial" w:cs="Arial"/>
            <w:color w:val="000080"/>
            <w:sz w:val="17"/>
            <w:u w:val="single"/>
            <w:lang w:eastAsia="tr-TR"/>
          </w:rPr>
          <w:t>küçük ev aletleri</w:t>
        </w:r>
      </w:hyperlink>
      <w:r w:rsidRPr="00806B22">
        <w:rPr>
          <w:rFonts w:ascii="Arial" w:eastAsia="Times New Roman" w:hAnsi="Arial" w:cs="Arial"/>
          <w:color w:val="000000"/>
          <w:sz w:val="17"/>
          <w:szCs w:val="17"/>
          <w:lang w:eastAsia="tr-TR"/>
        </w:rPr>
        <w:t xml:space="preserve">, </w:t>
      </w:r>
      <w:hyperlink r:id="rId7" w:anchor="M3" w:history="1">
        <w:r w:rsidRPr="00806B22">
          <w:rPr>
            <w:rFonts w:ascii="Arial" w:eastAsia="Times New Roman" w:hAnsi="Arial" w:cs="Arial"/>
            <w:color w:val="000080"/>
            <w:sz w:val="17"/>
            <w:u w:val="single"/>
            <w:lang w:eastAsia="tr-TR"/>
          </w:rPr>
          <w:t>deri ve deriden mamul eşya ile ayakkabı</w:t>
        </w:r>
      </w:hyperlink>
      <w:r w:rsidRPr="00806B22">
        <w:rPr>
          <w:rFonts w:ascii="Arial" w:eastAsia="Times New Roman" w:hAnsi="Arial" w:cs="Arial"/>
          <w:color w:val="000000"/>
          <w:sz w:val="17"/>
          <w:szCs w:val="17"/>
          <w:lang w:eastAsia="tr-TR"/>
        </w:rPr>
        <w:t xml:space="preserve">, </w:t>
      </w:r>
      <w:hyperlink r:id="rId8" w:anchor="M4" w:history="1">
        <w:r w:rsidRPr="00806B22">
          <w:rPr>
            <w:rFonts w:ascii="Arial" w:eastAsia="Times New Roman" w:hAnsi="Arial" w:cs="Arial"/>
            <w:color w:val="000080"/>
            <w:sz w:val="17"/>
            <w:u w:val="single"/>
            <w:lang w:eastAsia="tr-TR"/>
          </w:rPr>
          <w:t>mobilya</w:t>
        </w:r>
      </w:hyperlink>
      <w:r w:rsidRPr="00806B22">
        <w:rPr>
          <w:rFonts w:ascii="Arial" w:eastAsia="Times New Roman" w:hAnsi="Arial" w:cs="Arial"/>
          <w:color w:val="000000"/>
          <w:sz w:val="17"/>
          <w:szCs w:val="17"/>
          <w:lang w:eastAsia="tr-TR"/>
        </w:rPr>
        <w:t xml:space="preserve">, </w:t>
      </w:r>
      <w:hyperlink r:id="rId9" w:anchor="M5" w:history="1">
        <w:r w:rsidRPr="00806B22">
          <w:rPr>
            <w:rFonts w:ascii="Arial" w:eastAsia="Times New Roman" w:hAnsi="Arial" w:cs="Arial"/>
            <w:color w:val="000080"/>
            <w:sz w:val="17"/>
            <w:u w:val="single"/>
            <w:lang w:eastAsia="tr-TR"/>
          </w:rPr>
          <w:t>porselen ve seramikten mutfak eşyası</w:t>
        </w:r>
      </w:hyperlink>
      <w:r w:rsidRPr="00806B22">
        <w:rPr>
          <w:rFonts w:ascii="Arial" w:eastAsia="Times New Roman" w:hAnsi="Arial" w:cs="Arial"/>
          <w:color w:val="000000"/>
          <w:sz w:val="17"/>
          <w:szCs w:val="17"/>
          <w:lang w:eastAsia="tr-TR"/>
        </w:rPr>
        <w:t xml:space="preserve">, </w:t>
      </w:r>
      <w:hyperlink r:id="rId10" w:anchor="M6" w:history="1">
        <w:r w:rsidRPr="00806B22">
          <w:rPr>
            <w:rFonts w:ascii="Arial" w:eastAsia="Times New Roman" w:hAnsi="Arial" w:cs="Arial"/>
            <w:color w:val="000080"/>
            <w:sz w:val="17"/>
            <w:u w:val="single"/>
            <w:lang w:eastAsia="tr-TR"/>
          </w:rPr>
          <w:t>çakmak</w:t>
        </w:r>
      </w:hyperlink>
      <w:r w:rsidRPr="00806B22">
        <w:rPr>
          <w:rFonts w:ascii="Arial" w:eastAsia="Times New Roman" w:hAnsi="Arial" w:cs="Arial"/>
          <w:color w:val="000000"/>
          <w:sz w:val="17"/>
          <w:szCs w:val="17"/>
          <w:lang w:eastAsia="tr-TR"/>
        </w:rPr>
        <w:t xml:space="preserve">, </w:t>
      </w:r>
      <w:hyperlink r:id="rId11" w:anchor="M7" w:history="1">
        <w:proofErr w:type="spellStart"/>
        <w:r w:rsidRPr="00806B22">
          <w:rPr>
            <w:rFonts w:ascii="Arial" w:eastAsia="Times New Roman" w:hAnsi="Arial" w:cs="Arial"/>
            <w:color w:val="000080"/>
            <w:sz w:val="17"/>
            <w:u w:val="single"/>
            <w:lang w:eastAsia="tr-TR"/>
          </w:rPr>
          <w:t>düzcam</w:t>
        </w:r>
        <w:proofErr w:type="spellEnd"/>
      </w:hyperlink>
      <w:r w:rsidRPr="00806B22">
        <w:rPr>
          <w:rFonts w:ascii="Arial" w:eastAsia="Times New Roman" w:hAnsi="Arial" w:cs="Arial"/>
          <w:color w:val="000000"/>
          <w:sz w:val="17"/>
          <w:szCs w:val="17"/>
          <w:lang w:eastAsia="tr-TR"/>
        </w:rPr>
        <w:t xml:space="preserve">, </w:t>
      </w:r>
      <w:hyperlink r:id="rId12" w:anchor="M8" w:history="1">
        <w:r w:rsidRPr="00806B22">
          <w:rPr>
            <w:rFonts w:ascii="Arial" w:eastAsia="Times New Roman" w:hAnsi="Arial" w:cs="Arial"/>
            <w:color w:val="000080"/>
            <w:sz w:val="17"/>
            <w:u w:val="single"/>
            <w:lang w:eastAsia="tr-TR"/>
          </w:rPr>
          <w:t>çay</w:t>
        </w:r>
      </w:hyperlink>
      <w:r w:rsidRPr="00806B22">
        <w:rPr>
          <w:rFonts w:ascii="Arial" w:eastAsia="Times New Roman" w:hAnsi="Arial" w:cs="Arial"/>
          <w:color w:val="000000"/>
          <w:sz w:val="17"/>
          <w:szCs w:val="17"/>
          <w:lang w:eastAsia="tr-TR"/>
        </w:rPr>
        <w:t xml:space="preserve">, </w:t>
      </w:r>
      <w:hyperlink r:id="rId13" w:anchor="M9" w:history="1">
        <w:r w:rsidRPr="00806B22">
          <w:rPr>
            <w:rFonts w:ascii="Arial" w:eastAsia="Times New Roman" w:hAnsi="Arial" w:cs="Arial"/>
            <w:color w:val="000080"/>
            <w:sz w:val="17"/>
            <w:u w:val="single"/>
            <w:lang w:eastAsia="tr-TR"/>
          </w:rPr>
          <w:t>LPG</w:t>
        </w:r>
      </w:hyperlink>
      <w:r w:rsidRPr="00806B22">
        <w:rPr>
          <w:rFonts w:ascii="Arial" w:eastAsia="Times New Roman" w:hAnsi="Arial" w:cs="Arial"/>
          <w:color w:val="000000"/>
          <w:sz w:val="17"/>
          <w:szCs w:val="17"/>
          <w:lang w:eastAsia="tr-TR"/>
        </w:rPr>
        <w:t xml:space="preserve">, </w:t>
      </w:r>
      <w:hyperlink r:id="rId14" w:anchor="M10" w:history="1">
        <w:proofErr w:type="spellStart"/>
        <w:r w:rsidRPr="00806B22">
          <w:rPr>
            <w:rFonts w:ascii="Arial" w:eastAsia="Times New Roman" w:hAnsi="Arial" w:cs="Arial"/>
            <w:color w:val="000080"/>
            <w:sz w:val="17"/>
            <w:u w:val="single"/>
            <w:lang w:eastAsia="tr-TR"/>
          </w:rPr>
          <w:t>solvent</w:t>
        </w:r>
        <w:proofErr w:type="spellEnd"/>
        <w:r w:rsidRPr="00806B22">
          <w:rPr>
            <w:rFonts w:ascii="Arial" w:eastAsia="Times New Roman" w:hAnsi="Arial" w:cs="Arial"/>
            <w:color w:val="000080"/>
            <w:sz w:val="17"/>
            <w:u w:val="single"/>
            <w:lang w:eastAsia="tr-TR"/>
          </w:rPr>
          <w:t xml:space="preserve"> ve bazı petrol ürünleri</w:t>
        </w:r>
      </w:hyperlink>
      <w:r w:rsidRPr="00806B22">
        <w:rPr>
          <w:rFonts w:ascii="Arial" w:eastAsia="Times New Roman" w:hAnsi="Arial" w:cs="Arial"/>
          <w:color w:val="000000"/>
          <w:sz w:val="17"/>
          <w:szCs w:val="17"/>
          <w:lang w:eastAsia="tr-TR"/>
        </w:rPr>
        <w:t xml:space="preserve">, </w:t>
      </w:r>
      <w:hyperlink r:id="rId15" w:anchor="M11" w:history="1">
        <w:r w:rsidRPr="00806B22">
          <w:rPr>
            <w:rFonts w:ascii="Arial" w:eastAsia="Times New Roman" w:hAnsi="Arial" w:cs="Arial"/>
            <w:color w:val="000080"/>
            <w:sz w:val="17"/>
            <w:u w:val="single"/>
            <w:lang w:eastAsia="tr-TR"/>
          </w:rPr>
          <w:t>ham petrol ve akaryakıt</w:t>
        </w:r>
      </w:hyperlink>
      <w:r w:rsidRPr="00806B22">
        <w:rPr>
          <w:rFonts w:ascii="Arial" w:eastAsia="Times New Roman" w:hAnsi="Arial" w:cs="Arial"/>
          <w:color w:val="000000"/>
          <w:sz w:val="17"/>
          <w:szCs w:val="17"/>
          <w:lang w:eastAsia="tr-TR"/>
        </w:rPr>
        <w:t xml:space="preserve">, </w:t>
      </w:r>
      <w:hyperlink r:id="rId16" w:anchor="M12" w:history="1">
        <w:r w:rsidRPr="00806B22">
          <w:rPr>
            <w:rFonts w:ascii="Arial" w:eastAsia="Times New Roman" w:hAnsi="Arial" w:cs="Arial"/>
            <w:color w:val="000080"/>
            <w:sz w:val="17"/>
            <w:u w:val="single"/>
            <w:lang w:eastAsia="tr-TR"/>
          </w:rPr>
          <w:t>otomotiv</w:t>
        </w:r>
      </w:hyperlink>
      <w:r w:rsidRPr="00806B22">
        <w:rPr>
          <w:rFonts w:ascii="Arial" w:eastAsia="Times New Roman" w:hAnsi="Arial" w:cs="Arial"/>
          <w:color w:val="000000"/>
          <w:sz w:val="17"/>
          <w:szCs w:val="17"/>
          <w:lang w:eastAsia="tr-TR"/>
        </w:rPr>
        <w:t xml:space="preserve">, </w:t>
      </w:r>
      <w:hyperlink r:id="rId17" w:anchor="M13" w:history="1">
        <w:r w:rsidRPr="00806B22">
          <w:rPr>
            <w:rFonts w:ascii="Arial" w:eastAsia="Times New Roman" w:hAnsi="Arial" w:cs="Arial"/>
            <w:color w:val="000080"/>
            <w:sz w:val="17"/>
            <w:u w:val="single"/>
            <w:lang w:eastAsia="tr-TR"/>
          </w:rPr>
          <w:t>cam eşya ile lüks lambasının</w:t>
        </w:r>
      </w:hyperlink>
      <w:r w:rsidRPr="00806B22">
        <w:rPr>
          <w:rFonts w:ascii="Arial" w:eastAsia="Times New Roman" w:hAnsi="Arial" w:cs="Arial"/>
          <w:color w:val="000000"/>
          <w:sz w:val="17"/>
          <w:szCs w:val="17"/>
          <w:lang w:eastAsia="tr-TR"/>
        </w:rPr>
        <w:t xml:space="preserve"> serbest dolaşıma girişinin ihtisas gümrüklerinden yapılması uygulaması sürdürülmektedir.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Bu kapsamda, aşağıda belirtilen esaslara göre işlem tesisi 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0" w:name="M1"/>
      <w:r w:rsidRPr="00806B22">
        <w:rPr>
          <w:rFonts w:ascii="Arial" w:eastAsia="Times New Roman" w:hAnsi="Arial" w:cs="Arial"/>
          <w:b/>
          <w:bCs/>
          <w:color w:val="000000"/>
          <w:sz w:val="17"/>
          <w:szCs w:val="17"/>
          <w:lang w:eastAsia="tr-TR"/>
        </w:rPr>
        <w:t>1. Halı İhtisas Gümrüğü Uygulaması</w:t>
      </w:r>
      <w:bookmarkEnd w:id="0"/>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 AB menşeli olmayan ve ekli listede </w:t>
      </w:r>
      <w:hyperlink r:id="rId18" w:anchor="Ek1" w:history="1">
        <w:r w:rsidRPr="00806B22">
          <w:rPr>
            <w:rFonts w:ascii="Arial" w:eastAsia="Times New Roman" w:hAnsi="Arial" w:cs="Arial"/>
            <w:color w:val="000080"/>
            <w:sz w:val="17"/>
            <w:u w:val="single"/>
            <w:lang w:eastAsia="tr-TR"/>
          </w:rPr>
          <w:t>(EK-1)</w:t>
        </w:r>
      </w:hyperlink>
      <w:r w:rsidRPr="00806B22">
        <w:rPr>
          <w:rFonts w:ascii="Arial" w:eastAsia="Times New Roman" w:hAnsi="Arial" w:cs="Arial"/>
          <w:color w:val="000000"/>
          <w:sz w:val="17"/>
          <w:szCs w:val="17"/>
          <w:lang w:eastAsia="tr-TR"/>
        </w:rPr>
        <w:t xml:space="preserve"> </w:t>
      </w:r>
      <w:proofErr w:type="spellStart"/>
      <w:r w:rsidRPr="00806B22">
        <w:rPr>
          <w:rFonts w:ascii="Arial" w:eastAsia="Times New Roman" w:hAnsi="Arial" w:cs="Arial"/>
          <w:color w:val="000000"/>
          <w:sz w:val="17"/>
          <w:szCs w:val="17"/>
          <w:lang w:eastAsia="tr-TR"/>
        </w:rPr>
        <w:t>GTİP’leri</w:t>
      </w:r>
      <w:proofErr w:type="spellEnd"/>
      <w:r w:rsidRPr="00806B22">
        <w:rPr>
          <w:rFonts w:ascii="Arial" w:eastAsia="Times New Roman" w:hAnsi="Arial" w:cs="Arial"/>
          <w:color w:val="000000"/>
          <w:sz w:val="17"/>
          <w:szCs w:val="17"/>
          <w:lang w:eastAsia="tr-TR"/>
        </w:rPr>
        <w:t xml:space="preserve"> belirtilen halının serbest dolaşıma giriş işlemlerinin Antalya Gümrük ve Muhafaza Başmüdürlüğüne bağlı Isparta Gümrük Müdürlüğünden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 Miktar ve kullanım alanı itibariyle ticari nitelik </w:t>
      </w:r>
      <w:proofErr w:type="spellStart"/>
      <w:r w:rsidRPr="00806B22">
        <w:rPr>
          <w:rFonts w:ascii="Arial" w:eastAsia="Times New Roman" w:hAnsi="Arial" w:cs="Arial"/>
          <w:color w:val="000000"/>
          <w:sz w:val="17"/>
          <w:szCs w:val="17"/>
          <w:lang w:eastAsia="tr-TR"/>
        </w:rPr>
        <w:t>arzetmeyen</w:t>
      </w:r>
      <w:proofErr w:type="spellEnd"/>
      <w:r w:rsidRPr="00806B22">
        <w:rPr>
          <w:rFonts w:ascii="Arial" w:eastAsia="Times New Roman" w:hAnsi="Arial" w:cs="Arial"/>
          <w:color w:val="000000"/>
          <w:sz w:val="17"/>
          <w:szCs w:val="17"/>
          <w:lang w:eastAsia="tr-TR"/>
        </w:rPr>
        <w:t xml:space="preserve"> 50 m2 veya 5 adete kadar (50 m2 ve 5 adet </w:t>
      </w:r>
      <w:proofErr w:type="gramStart"/>
      <w:r w:rsidRPr="00806B22">
        <w:rPr>
          <w:rFonts w:ascii="Arial" w:eastAsia="Times New Roman" w:hAnsi="Arial" w:cs="Arial"/>
          <w:color w:val="000000"/>
          <w:sz w:val="17"/>
          <w:szCs w:val="17"/>
          <w:lang w:eastAsia="tr-TR"/>
        </w:rPr>
        <w:t>dahil</w:t>
      </w:r>
      <w:proofErr w:type="gramEnd"/>
      <w:r w:rsidRPr="00806B22">
        <w:rPr>
          <w:rFonts w:ascii="Arial" w:eastAsia="Times New Roman" w:hAnsi="Arial" w:cs="Arial"/>
          <w:color w:val="000000"/>
          <w:sz w:val="17"/>
          <w:szCs w:val="17"/>
          <w:lang w:eastAsia="tr-TR"/>
        </w:rPr>
        <w:t xml:space="preserve">) olanların serbest dolaşıma giriş işlemlerinin eşyanın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c) Yatırım Teşvik Belgesi kapsamında Türkiye Gümrük Bölgesine getirilen, 4458 sayılı Gümrük Kanununun </w:t>
      </w:r>
      <w:hyperlink r:id="rId19" w:anchor="M135" w:history="1">
        <w:r w:rsidRPr="00806B22">
          <w:rPr>
            <w:rFonts w:ascii="Arial" w:eastAsia="Times New Roman" w:hAnsi="Arial" w:cs="Arial"/>
            <w:color w:val="000080"/>
            <w:sz w:val="17"/>
            <w:u w:val="single"/>
            <w:lang w:eastAsia="tr-TR"/>
          </w:rPr>
          <w:t>135</w:t>
        </w:r>
      </w:hyperlink>
      <w:r w:rsidRPr="00806B22">
        <w:rPr>
          <w:rFonts w:ascii="Arial" w:eastAsia="Times New Roman" w:hAnsi="Arial" w:cs="Arial"/>
          <w:color w:val="000000"/>
          <w:sz w:val="17"/>
          <w:szCs w:val="17"/>
          <w:lang w:eastAsia="tr-TR"/>
        </w:rPr>
        <w:t xml:space="preserve"> ve </w:t>
      </w:r>
      <w:hyperlink r:id="rId20" w:anchor="M168" w:history="1">
        <w:r w:rsidRPr="00806B22">
          <w:rPr>
            <w:rFonts w:ascii="Arial" w:eastAsia="Times New Roman" w:hAnsi="Arial" w:cs="Arial"/>
            <w:color w:val="000080"/>
            <w:sz w:val="17"/>
            <w:u w:val="single"/>
            <w:lang w:eastAsia="tr-TR"/>
          </w:rPr>
          <w:t>168 inci</w:t>
        </w:r>
      </w:hyperlink>
      <w:r w:rsidRPr="00806B22">
        <w:rPr>
          <w:rFonts w:ascii="Arial" w:eastAsia="Times New Roman" w:hAnsi="Arial" w:cs="Arial"/>
          <w:color w:val="000000"/>
          <w:sz w:val="17"/>
          <w:szCs w:val="17"/>
          <w:lang w:eastAsia="tr-TR"/>
        </w:rPr>
        <w:t xml:space="preserve"> maddeleri kapsamında Türkiye Gümrük Bölgesinden çıkarıldıktan sonra tekrar geri getirilen söz konusu eşyanın gümrük işlemlerinin geldiği yetkili gümrük idaresinden gerçekleştirilmesi,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Diğer taraftan, ekli listede </w:t>
      </w:r>
      <w:hyperlink r:id="rId21" w:anchor="Ek1" w:history="1">
        <w:r w:rsidRPr="00806B22">
          <w:rPr>
            <w:rFonts w:ascii="Arial" w:eastAsia="Times New Roman" w:hAnsi="Arial" w:cs="Arial"/>
            <w:color w:val="000080"/>
            <w:sz w:val="17"/>
            <w:u w:val="single"/>
            <w:lang w:eastAsia="tr-TR"/>
          </w:rPr>
          <w:t>(EK:1)</w:t>
        </w:r>
      </w:hyperlink>
      <w:r w:rsidRPr="00806B22">
        <w:rPr>
          <w:rFonts w:ascii="Arial" w:eastAsia="Times New Roman" w:hAnsi="Arial" w:cs="Arial"/>
          <w:color w:val="000000"/>
          <w:sz w:val="17"/>
          <w:szCs w:val="17"/>
          <w:lang w:eastAsia="tr-TR"/>
        </w:rPr>
        <w:t xml:space="preserve"> tarife pozisyonları belirtilmeyen ve 57 </w:t>
      </w:r>
      <w:proofErr w:type="spellStart"/>
      <w:r w:rsidRPr="00806B22">
        <w:rPr>
          <w:rFonts w:ascii="Arial" w:eastAsia="Times New Roman" w:hAnsi="Arial" w:cs="Arial"/>
          <w:color w:val="000000"/>
          <w:sz w:val="17"/>
          <w:szCs w:val="17"/>
          <w:lang w:eastAsia="tr-TR"/>
        </w:rPr>
        <w:t>nci</w:t>
      </w:r>
      <w:proofErr w:type="spellEnd"/>
      <w:r w:rsidRPr="00806B22">
        <w:rPr>
          <w:rFonts w:ascii="Arial" w:eastAsia="Times New Roman" w:hAnsi="Arial" w:cs="Arial"/>
          <w:color w:val="000000"/>
          <w:sz w:val="17"/>
          <w:szCs w:val="17"/>
          <w:lang w:eastAsia="tr-TR"/>
        </w:rPr>
        <w:t xml:space="preserve"> fasılda yer alan halıların serbest dolaşıma giriş işlemlerinin 26.04.2007 tarihli ve 26504 sayılı Resmi Gazete'de yayımlanan </w:t>
      </w:r>
      <w:hyperlink r:id="rId22" w:history="1">
        <w:r w:rsidRPr="00806B22">
          <w:rPr>
            <w:rFonts w:ascii="Arial" w:eastAsia="Times New Roman" w:hAnsi="Arial" w:cs="Arial"/>
            <w:color w:val="000080"/>
            <w:sz w:val="17"/>
            <w:u w:val="single"/>
            <w:lang w:eastAsia="tr-TR"/>
          </w:rPr>
          <w:t xml:space="preserve">55 Seri </w:t>
        </w:r>
        <w:proofErr w:type="spellStart"/>
        <w:r w:rsidRPr="00806B22">
          <w:rPr>
            <w:rFonts w:ascii="Arial" w:eastAsia="Times New Roman" w:hAnsi="Arial" w:cs="Arial"/>
            <w:color w:val="000080"/>
            <w:sz w:val="17"/>
            <w:u w:val="single"/>
            <w:lang w:eastAsia="tr-TR"/>
          </w:rPr>
          <w:t>Nolu</w:t>
        </w:r>
        <w:proofErr w:type="spellEnd"/>
        <w:r w:rsidRPr="00806B22">
          <w:rPr>
            <w:rFonts w:ascii="Arial" w:eastAsia="Times New Roman" w:hAnsi="Arial" w:cs="Arial"/>
            <w:color w:val="000080"/>
            <w:sz w:val="17"/>
            <w:u w:val="single"/>
            <w:lang w:eastAsia="tr-TR"/>
          </w:rPr>
          <w:t xml:space="preserve"> Gümrük Genel Tebliğinde</w:t>
        </w:r>
      </w:hyperlink>
      <w:r w:rsidRPr="00806B22">
        <w:rPr>
          <w:rFonts w:ascii="Arial" w:eastAsia="Times New Roman" w:hAnsi="Arial" w:cs="Arial"/>
          <w:color w:val="000000"/>
          <w:sz w:val="17"/>
          <w:szCs w:val="17"/>
          <w:lang w:eastAsia="tr-TR"/>
        </w:rPr>
        <w:t xml:space="preserve"> belirtilen tekstil ihtisas gümrüklerinden yapılması gerektiğinden Isparta Gümrük Müdürlüğüne gönderilmemesi 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1" w:name="M2"/>
      <w:r w:rsidRPr="00806B22">
        <w:rPr>
          <w:rFonts w:ascii="Arial" w:eastAsia="Times New Roman" w:hAnsi="Arial" w:cs="Arial"/>
          <w:b/>
          <w:bCs/>
          <w:color w:val="000000"/>
          <w:sz w:val="17"/>
          <w:szCs w:val="17"/>
          <w:lang w:eastAsia="tr-TR"/>
        </w:rPr>
        <w:t>2. Küçük Ev Aletleri İhtisas Gümrüğü Uygulaması</w:t>
      </w:r>
      <w:bookmarkEnd w:id="1"/>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 xml:space="preserve">a) Ekli listede </w:t>
      </w:r>
      <w:hyperlink r:id="rId23" w:anchor="Ek2" w:history="1">
        <w:r w:rsidRPr="00806B22">
          <w:rPr>
            <w:rFonts w:ascii="Arial" w:eastAsia="Times New Roman" w:hAnsi="Arial" w:cs="Arial"/>
            <w:color w:val="000080"/>
            <w:sz w:val="17"/>
            <w:u w:val="single"/>
            <w:lang w:eastAsia="tr-TR"/>
          </w:rPr>
          <w:t>(EK-2)</w:t>
        </w:r>
      </w:hyperlink>
      <w:r w:rsidRPr="00806B22">
        <w:rPr>
          <w:rFonts w:ascii="Arial" w:eastAsia="Times New Roman" w:hAnsi="Arial" w:cs="Arial"/>
          <w:color w:val="000000"/>
          <w:sz w:val="17"/>
          <w:szCs w:val="17"/>
          <w:lang w:eastAsia="tr-TR"/>
        </w:rPr>
        <w:t xml:space="preserve"> tarife pozisyonları belirtilen küçük ev aletlerinin serbest dolaşıma giriş işlemlerinin İstanbul Gümrük ve Muhafaza Başmüdürlüğüne bağlı Erenköy Gümrük Müdürlüğü ile Çerkezköy Gümrük Müdürlüğü, Ankara Gümrük ve Muhafaza Başmüdürlüğüne bağlı Ankara TIR Gümrük Müdürlüğü, Bursa Gümrük ve Muhafaza Başmüdürlüğüne bağlı Gemlik Gümrük Müdürlüğü, Mersin Gümrük ve Muhafaza Başmüdürlüğüne bağlı Mersin Gümrük Müdürlüğü ve İzmir Gümrük ve Muhafaza Başmüdürlüğüne bağlı İzmir TIR Gümrük Müdürlüğünden gerçekleştirilmesi, </w:t>
      </w:r>
      <w:proofErr w:type="gramEnd"/>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 Yatırım Teşvik Belgesi kapsamında Türkiye Gümrük Bölgesine getirilen söz konusu eşyanın serbest dolaşıma giriş işlemlerinin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c) 4458 sayılı Gümrük Kanunu'nun </w:t>
      </w:r>
      <w:hyperlink r:id="rId24" w:anchor="M135" w:history="1">
        <w:r w:rsidRPr="00806B22">
          <w:rPr>
            <w:rFonts w:ascii="Arial" w:eastAsia="Times New Roman" w:hAnsi="Arial" w:cs="Arial"/>
            <w:color w:val="000080"/>
            <w:sz w:val="17"/>
            <w:u w:val="single"/>
            <w:lang w:eastAsia="tr-TR"/>
          </w:rPr>
          <w:t>135</w:t>
        </w:r>
      </w:hyperlink>
      <w:r w:rsidRPr="00806B22">
        <w:rPr>
          <w:rFonts w:ascii="Arial" w:eastAsia="Times New Roman" w:hAnsi="Arial" w:cs="Arial"/>
          <w:color w:val="000000"/>
          <w:sz w:val="17"/>
          <w:szCs w:val="17"/>
          <w:lang w:eastAsia="tr-TR"/>
        </w:rPr>
        <w:t xml:space="preserve"> ve </w:t>
      </w:r>
      <w:hyperlink r:id="rId25" w:anchor="M168" w:history="1">
        <w:r w:rsidRPr="00806B22">
          <w:rPr>
            <w:rFonts w:ascii="Arial" w:eastAsia="Times New Roman" w:hAnsi="Arial" w:cs="Arial"/>
            <w:color w:val="000080"/>
            <w:sz w:val="17"/>
            <w:u w:val="single"/>
            <w:lang w:eastAsia="tr-TR"/>
          </w:rPr>
          <w:t>168 inci</w:t>
        </w:r>
      </w:hyperlink>
      <w:r w:rsidRPr="00806B22">
        <w:rPr>
          <w:rFonts w:ascii="Arial" w:eastAsia="Times New Roman" w:hAnsi="Arial" w:cs="Arial"/>
          <w:color w:val="000000"/>
          <w:sz w:val="17"/>
          <w:szCs w:val="17"/>
          <w:lang w:eastAsia="tr-TR"/>
        </w:rPr>
        <w:t xml:space="preserve"> maddeleri kapsamında Türkiye Gümrük Bölgesine getirilen söz konusu eşyanın serbest dolaşıma giriş işlemlerinin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d) Söz konusu küçük ev aletlerinin serbest bölgede imalatını yaptığını belgeleyen firmaların ürettikleri küçük ev aletlerinin serbest dolaşıma giriş işlemlerinin serbest bölgenin gümrük işlemlerini yapan gümrük müdürlüklerinden gerçekleştirilmesi,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lastRenderedPageBreak/>
        <w:t xml:space="preserve">e) Miktar ve kullanım alanı itibariyle ticari nitelik arz etmeyen söz konusu küçük ev aletlerinin serbest dolaşıma giriş işlemlerinin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2" w:name="M3"/>
      <w:r w:rsidRPr="00806B22">
        <w:rPr>
          <w:rFonts w:ascii="Arial" w:eastAsia="Times New Roman" w:hAnsi="Arial" w:cs="Arial"/>
          <w:b/>
          <w:bCs/>
          <w:color w:val="000000"/>
          <w:sz w:val="17"/>
          <w:szCs w:val="17"/>
          <w:lang w:eastAsia="tr-TR"/>
        </w:rPr>
        <w:t>3. Deri ve Deriden Mamul Eşya ile Ayakkabı İhtisas Gümrüğü Uygulaması</w:t>
      </w:r>
      <w:bookmarkEnd w:id="2"/>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 Avrupa Birliği menşeli olmayan;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41 inci fasılda (41.01, 41.02, 41.03, 41.04, 41.05, 41.06 hariç) yer alan işlenmiş derinin,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42 inci fasılda yer alan ve aşağıda </w:t>
      </w:r>
      <w:proofErr w:type="spellStart"/>
      <w:r w:rsidRPr="00806B22">
        <w:rPr>
          <w:rFonts w:ascii="Arial" w:eastAsia="Times New Roman" w:hAnsi="Arial" w:cs="Arial"/>
          <w:color w:val="000000"/>
          <w:sz w:val="17"/>
          <w:szCs w:val="17"/>
          <w:lang w:eastAsia="tr-TR"/>
        </w:rPr>
        <w:t>GTİP'leri</w:t>
      </w:r>
      <w:proofErr w:type="spellEnd"/>
      <w:r w:rsidRPr="00806B22">
        <w:rPr>
          <w:rFonts w:ascii="Arial" w:eastAsia="Times New Roman" w:hAnsi="Arial" w:cs="Arial"/>
          <w:color w:val="000000"/>
          <w:sz w:val="17"/>
          <w:szCs w:val="17"/>
          <w:lang w:eastAsia="tr-TR"/>
        </w:rPr>
        <w:t xml:space="preserve"> belirtilen deriden mamul eşyanın, </w:t>
      </w:r>
    </w:p>
    <w:tbl>
      <w:tblPr>
        <w:tblW w:w="6840" w:type="dxa"/>
        <w:tblCellSpacing w:w="15" w:type="dxa"/>
        <w:tblCellMar>
          <w:top w:w="15" w:type="dxa"/>
          <w:left w:w="15" w:type="dxa"/>
          <w:bottom w:w="15" w:type="dxa"/>
          <w:right w:w="15" w:type="dxa"/>
        </w:tblCellMar>
        <w:tblLook w:val="04A0"/>
      </w:tblPr>
      <w:tblGrid>
        <w:gridCol w:w="1823"/>
        <w:gridCol w:w="2593"/>
        <w:gridCol w:w="2424"/>
      </w:tblGrid>
      <w:tr w:rsidR="00806B22" w:rsidRPr="00806B22" w:rsidTr="00806B22">
        <w:trPr>
          <w:tblCellSpacing w:w="15" w:type="dxa"/>
        </w:trPr>
        <w:tc>
          <w:tcPr>
            <w:tcW w:w="174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4201.00.00.00.00,</w:t>
            </w:r>
          </w:p>
        </w:tc>
        <w:tc>
          <w:tcPr>
            <w:tcW w:w="250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4203.10,</w:t>
            </w:r>
          </w:p>
        </w:tc>
        <w:tc>
          <w:tcPr>
            <w:tcW w:w="232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4203.40.00.00.11,</w:t>
            </w:r>
          </w:p>
        </w:tc>
      </w:tr>
      <w:tr w:rsidR="00806B22" w:rsidRPr="00806B22" w:rsidTr="00806B22">
        <w:trPr>
          <w:tblCellSpacing w:w="15" w:type="dxa"/>
        </w:trPr>
        <w:tc>
          <w:tcPr>
            <w:tcW w:w="174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4202.11.10.00.11,</w:t>
            </w:r>
          </w:p>
        </w:tc>
        <w:tc>
          <w:tcPr>
            <w:tcW w:w="250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4203.21.00.00.11,</w:t>
            </w:r>
          </w:p>
        </w:tc>
        <w:tc>
          <w:tcPr>
            <w:tcW w:w="232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4203.40.00.00.12,</w:t>
            </w:r>
          </w:p>
        </w:tc>
      </w:tr>
      <w:tr w:rsidR="00806B22" w:rsidRPr="00806B22" w:rsidTr="00806B22">
        <w:trPr>
          <w:tblCellSpacing w:w="15" w:type="dxa"/>
        </w:trPr>
        <w:tc>
          <w:tcPr>
            <w:tcW w:w="174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4202.11.10.00.12,</w:t>
            </w:r>
          </w:p>
        </w:tc>
        <w:tc>
          <w:tcPr>
            <w:tcW w:w="250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4203.21.00.00.12,</w:t>
            </w:r>
          </w:p>
        </w:tc>
        <w:tc>
          <w:tcPr>
            <w:tcW w:w="232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4205.00.11.10.00,</w:t>
            </w:r>
          </w:p>
        </w:tc>
      </w:tr>
      <w:tr w:rsidR="00806B22" w:rsidRPr="00806B22" w:rsidTr="00806B22">
        <w:trPr>
          <w:tblCellSpacing w:w="15" w:type="dxa"/>
        </w:trPr>
        <w:tc>
          <w:tcPr>
            <w:tcW w:w="174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4202.11.90.00.11,</w:t>
            </w:r>
          </w:p>
        </w:tc>
        <w:tc>
          <w:tcPr>
            <w:tcW w:w="250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4203.29.10.00.11,</w:t>
            </w:r>
          </w:p>
        </w:tc>
        <w:tc>
          <w:tcPr>
            <w:tcW w:w="232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4205.00.11.20.00,</w:t>
            </w:r>
          </w:p>
        </w:tc>
      </w:tr>
      <w:tr w:rsidR="00806B22" w:rsidRPr="00806B22" w:rsidTr="00806B22">
        <w:trPr>
          <w:tblCellSpacing w:w="15" w:type="dxa"/>
        </w:trPr>
        <w:tc>
          <w:tcPr>
            <w:tcW w:w="174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4202.11.90.00.12,</w:t>
            </w:r>
          </w:p>
        </w:tc>
        <w:tc>
          <w:tcPr>
            <w:tcW w:w="250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4203.29.10.00.12,</w:t>
            </w:r>
          </w:p>
        </w:tc>
        <w:tc>
          <w:tcPr>
            <w:tcW w:w="232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4205.00.19.10.00,</w:t>
            </w:r>
          </w:p>
        </w:tc>
      </w:tr>
      <w:tr w:rsidR="00806B22" w:rsidRPr="00806B22" w:rsidTr="00806B22">
        <w:trPr>
          <w:tblCellSpacing w:w="15" w:type="dxa"/>
        </w:trPr>
        <w:tc>
          <w:tcPr>
            <w:tcW w:w="174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4202.21.00.00.00,</w:t>
            </w:r>
          </w:p>
        </w:tc>
        <w:tc>
          <w:tcPr>
            <w:tcW w:w="250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4203.29.90.00.00,</w:t>
            </w:r>
          </w:p>
        </w:tc>
        <w:tc>
          <w:tcPr>
            <w:tcW w:w="232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4205.00.19.90.00,</w:t>
            </w:r>
          </w:p>
        </w:tc>
      </w:tr>
      <w:tr w:rsidR="00806B22" w:rsidRPr="00806B22" w:rsidTr="00806B22">
        <w:trPr>
          <w:tblCellSpacing w:w="15" w:type="dxa"/>
        </w:trPr>
        <w:tc>
          <w:tcPr>
            <w:tcW w:w="174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4202.31.00.00.00,</w:t>
            </w:r>
          </w:p>
        </w:tc>
        <w:tc>
          <w:tcPr>
            <w:tcW w:w="250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4203.30.00.00.11,</w:t>
            </w:r>
          </w:p>
        </w:tc>
        <w:tc>
          <w:tcPr>
            <w:tcW w:w="232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4205.00.90.00.11,</w:t>
            </w:r>
          </w:p>
        </w:tc>
      </w:tr>
      <w:tr w:rsidR="00806B22" w:rsidRPr="00806B22" w:rsidTr="00806B22">
        <w:trPr>
          <w:tblCellSpacing w:w="15" w:type="dxa"/>
        </w:trPr>
        <w:tc>
          <w:tcPr>
            <w:tcW w:w="1740" w:type="dxa"/>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4202.91.10.00.11,</w:t>
            </w:r>
          </w:p>
        </w:tc>
        <w:tc>
          <w:tcPr>
            <w:tcW w:w="2508" w:type="dxa"/>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4203.30.00.00.12,</w:t>
            </w:r>
          </w:p>
        </w:tc>
        <w:tc>
          <w:tcPr>
            <w:tcW w:w="2328" w:type="dxa"/>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4205.00.90.00.12,</w:t>
            </w:r>
          </w:p>
        </w:tc>
      </w:tr>
      <w:tr w:rsidR="00806B22" w:rsidRPr="00806B22" w:rsidTr="00806B22">
        <w:trPr>
          <w:tblCellSpacing w:w="15" w:type="dxa"/>
        </w:trPr>
        <w:tc>
          <w:tcPr>
            <w:tcW w:w="174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4202.91.10.00.12,</w:t>
            </w:r>
          </w:p>
        </w:tc>
        <w:tc>
          <w:tcPr>
            <w:tcW w:w="2508" w:type="dxa"/>
            <w:vAlign w:val="center"/>
            <w:hideMark/>
          </w:tcPr>
          <w:p w:rsidR="00806B22" w:rsidRPr="00806B22" w:rsidRDefault="00806B22" w:rsidP="00806B22">
            <w:pPr>
              <w:spacing w:before="100" w:beforeAutospacing="1" w:after="100" w:afterAutospacing="1" w:line="240" w:lineRule="auto"/>
              <w:rPr>
                <w:rFonts w:ascii="Arial" w:eastAsia="Times New Roman" w:hAnsi="Arial" w:cs="Arial"/>
                <w:color w:val="000000"/>
                <w:sz w:val="17"/>
                <w:szCs w:val="17"/>
                <w:lang w:eastAsia="tr-TR"/>
              </w:rPr>
            </w:pPr>
          </w:p>
        </w:tc>
        <w:tc>
          <w:tcPr>
            <w:tcW w:w="2328"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w:t>
            </w:r>
          </w:p>
        </w:tc>
      </w:tr>
    </w:tbl>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serbest</w:t>
      </w:r>
      <w:proofErr w:type="gramEnd"/>
      <w:r w:rsidRPr="00806B22">
        <w:rPr>
          <w:rFonts w:ascii="Arial" w:eastAsia="Times New Roman" w:hAnsi="Arial" w:cs="Arial"/>
          <w:color w:val="000000"/>
          <w:sz w:val="17"/>
          <w:szCs w:val="17"/>
          <w:lang w:eastAsia="tr-TR"/>
        </w:rPr>
        <w:t xml:space="preserve"> dolaşıma giriş işlemlerinin Gaziantep Gümrük ve Muhafaza Başmüdürlüğüne bağlı Gaziantep Gümrük Müdürlüğü, İstanbul Gümrük ve Muhafaza Başmüdürlüğüne bağlı Haydarpaşa Gümrük Müdürlüğü ile İstanbul Deri Serbest Bölge Gümrük Müdürlüğü, İzmir Gümrük ve Muhafaza Başmüdürlüğüne bağlı İzmir Menemen Deri Serbest Bölge Gümrük Müdürlüğünden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 64 üncü fasılda yer alan eşyanın,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AB menşeli olması halinde, ATR Dolaşım Belgesi ile getirilip getirilmediğine bakılmaksızın, serbest dolaşıma giriş işlemlerinin geldiği her türlü ithalat, ihracat ve transit işlemlerini yapmaya yetkili gümrük idaresinden gerçekleştirilmesi,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AB menşeli olmaması halinde serbest dolaşıma giriş işlemlerinin Gaziantep Gümrük ve Muhafaza Başmüdürlüğüne bağlı Gaziantep Gümrük Müdürlüğü, İstanbul Gümrük ve Muhafaza Başmüdürlüğüne bağlı İstanbul Deri Serbest Bölge Gümrük Müdürlüğü, İzmir Gümrük ve Muhafaza Başmüdürlüğüne bağlı İzmir Menemen Deri Serbest Bölge Gümrük Müdürlüğünden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 xml:space="preserve">AB menşeli olmaması ancak ATR Dolaşım Belgesi ile gelmesi halinde serbest dolaşıma giriş işlemlerinin Gaziantep Gümrük ve Muhafaza Başmüdürlüğüne bağlı Gaziantep Gümrük Müdürlüğü, İstanbul Gümrük ve Muhafaza Başmüdürlüğüne bağlı Halkalı Gümrük Müdürlüğü ile İstanbul Deri Serbest Bölge Müdürlüğü ve İzmir Gümrük ve Muhafaza Başmüdürlüğüne bağlı İzmir Menemen Deri Serbest Bölge Gümrük Müdürlüğünden yapılması, </w:t>
      </w:r>
      <w:proofErr w:type="gramEnd"/>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c</w:t>
      </w:r>
      <w:proofErr w:type="gramEnd"/>
      <w:r w:rsidRPr="00806B22">
        <w:rPr>
          <w:rFonts w:ascii="Arial" w:eastAsia="Times New Roman" w:hAnsi="Arial" w:cs="Arial"/>
          <w:color w:val="000000"/>
          <w:sz w:val="17"/>
          <w:szCs w:val="17"/>
          <w:lang w:eastAsia="tr-TR"/>
        </w:rPr>
        <w:t xml:space="preserve">- Miktar ve değer itibariyle ticari nitelik arz etmeyen </w:t>
      </w:r>
      <w:proofErr w:type="spellStart"/>
      <w:r w:rsidRPr="00806B22">
        <w:rPr>
          <w:rFonts w:ascii="Arial" w:eastAsia="Times New Roman" w:hAnsi="Arial" w:cs="Arial"/>
          <w:color w:val="000000"/>
          <w:sz w:val="17"/>
          <w:szCs w:val="17"/>
          <w:lang w:eastAsia="tr-TR"/>
        </w:rPr>
        <w:t>sözkonusu</w:t>
      </w:r>
      <w:proofErr w:type="spellEnd"/>
      <w:r w:rsidRPr="00806B22">
        <w:rPr>
          <w:rFonts w:ascii="Arial" w:eastAsia="Times New Roman" w:hAnsi="Arial" w:cs="Arial"/>
          <w:color w:val="000000"/>
          <w:sz w:val="17"/>
          <w:szCs w:val="17"/>
          <w:lang w:eastAsia="tr-TR"/>
        </w:rPr>
        <w:t xml:space="preserve"> eşyanın serbest dolaşıma giriş işlemlerinin eşyanın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d</w:t>
      </w:r>
      <w:proofErr w:type="gramEnd"/>
      <w:r w:rsidRPr="00806B22">
        <w:rPr>
          <w:rFonts w:ascii="Arial" w:eastAsia="Times New Roman" w:hAnsi="Arial" w:cs="Arial"/>
          <w:color w:val="000000"/>
          <w:sz w:val="17"/>
          <w:szCs w:val="17"/>
          <w:lang w:eastAsia="tr-TR"/>
        </w:rPr>
        <w:t xml:space="preserve">- Yatırım Teşvik Belgesi kapsamında Türkiye Gümrük Bölgesine getirilen, 4458 sayılı Gümrük Kanununun </w:t>
      </w:r>
      <w:hyperlink r:id="rId26" w:anchor="M168" w:history="1">
        <w:r w:rsidRPr="00806B22">
          <w:rPr>
            <w:rFonts w:ascii="Arial" w:eastAsia="Times New Roman" w:hAnsi="Arial" w:cs="Arial"/>
            <w:color w:val="000080"/>
            <w:sz w:val="17"/>
            <w:u w:val="single"/>
            <w:lang w:eastAsia="tr-TR"/>
          </w:rPr>
          <w:t>168</w:t>
        </w:r>
      </w:hyperlink>
      <w:r w:rsidRPr="00806B22">
        <w:rPr>
          <w:rFonts w:ascii="Arial" w:eastAsia="Times New Roman" w:hAnsi="Arial" w:cs="Arial"/>
          <w:color w:val="000000"/>
          <w:sz w:val="17"/>
          <w:szCs w:val="17"/>
          <w:lang w:eastAsia="tr-TR"/>
        </w:rPr>
        <w:t xml:space="preserve"> ve </w:t>
      </w:r>
      <w:hyperlink r:id="rId27" w:anchor="M135" w:history="1">
        <w:r w:rsidRPr="00806B22">
          <w:rPr>
            <w:rFonts w:ascii="Arial" w:eastAsia="Times New Roman" w:hAnsi="Arial" w:cs="Arial"/>
            <w:color w:val="000080"/>
            <w:sz w:val="17"/>
            <w:u w:val="single"/>
            <w:lang w:eastAsia="tr-TR"/>
          </w:rPr>
          <w:t>135 inci</w:t>
        </w:r>
      </w:hyperlink>
      <w:r w:rsidRPr="00806B22">
        <w:rPr>
          <w:rFonts w:ascii="Arial" w:eastAsia="Times New Roman" w:hAnsi="Arial" w:cs="Arial"/>
          <w:color w:val="000000"/>
          <w:sz w:val="17"/>
          <w:szCs w:val="17"/>
          <w:lang w:eastAsia="tr-TR"/>
        </w:rPr>
        <w:t xml:space="preserve"> maddeleri kapsamında Türkiye Gümrük Bölgesinden çıkarıldıktan sonra tekrar geri getirilen AB menşeli olmayan söz konusu eşyanın gümrük işlemlerinin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3" w:name="M4"/>
      <w:r w:rsidRPr="00806B22">
        <w:rPr>
          <w:rFonts w:ascii="Arial" w:eastAsia="Times New Roman" w:hAnsi="Arial" w:cs="Arial"/>
          <w:b/>
          <w:bCs/>
          <w:color w:val="000000"/>
          <w:sz w:val="17"/>
          <w:szCs w:val="17"/>
          <w:lang w:eastAsia="tr-TR"/>
        </w:rPr>
        <w:t>4. Mobilya İhtisas Gümrüğü Uygulaması</w:t>
      </w:r>
      <w:bookmarkEnd w:id="3"/>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 AB menşeli olmayan 94.01, 94.02, 94.03 ve 94.04 tarife pozisyonlarında yer alan (alt pozisyonlar </w:t>
      </w:r>
      <w:proofErr w:type="gramStart"/>
      <w:r w:rsidRPr="00806B22">
        <w:rPr>
          <w:rFonts w:ascii="Arial" w:eastAsia="Times New Roman" w:hAnsi="Arial" w:cs="Arial"/>
          <w:color w:val="000000"/>
          <w:sz w:val="17"/>
          <w:szCs w:val="17"/>
          <w:lang w:eastAsia="tr-TR"/>
        </w:rPr>
        <w:t>dahil</w:t>
      </w:r>
      <w:proofErr w:type="gramEnd"/>
      <w:r w:rsidRPr="00806B22">
        <w:rPr>
          <w:rFonts w:ascii="Arial" w:eastAsia="Times New Roman" w:hAnsi="Arial" w:cs="Arial"/>
          <w:color w:val="000000"/>
          <w:sz w:val="17"/>
          <w:szCs w:val="17"/>
          <w:lang w:eastAsia="tr-TR"/>
        </w:rPr>
        <w:t xml:space="preserve">) eşyanın serbest dolaşıma giriş işlemlerinin, İstanbul Gümrük ve Muhafaza Başmüdürlüğüne bağlı Erenköy Gümrük Müdürlüğü, Bursa Gümrük ve Muhafaza Başmüdürlüğüne bağlı Bursa Gümrük Müdürlüğü, İzmir Gümrük ve Muhafaza Başmüdürlüğüne bağlı İzmir TIR Gümrük Müdürlüğü, Ankara Gümrük ve Muhafaza Başmüdürlüğüne bağlı Ankara TIR Gümrük Müdürlüğü ile Kayseri Gümrük Müdürlüğü, Gaziantep Gümrük ve Muhafaza Başmüdürlüğüne bağlı Gaziantep Gümrük Müdürlüğü, Mersin Gümrük ve Muhafaza Başmüdürlüğüne bağlı Mersin Gümrük Müdürlüğü, Trabzon Gümrük ve Muhafaza Başmüdürlüğüne bağlı Trabzon Gümrük Müdürlüğünden gerçekleştirilmesi,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lastRenderedPageBreak/>
        <w:t>b</w:t>
      </w:r>
      <w:proofErr w:type="gramEnd"/>
      <w:r w:rsidRPr="00806B22">
        <w:rPr>
          <w:rFonts w:ascii="Arial" w:eastAsia="Times New Roman" w:hAnsi="Arial" w:cs="Arial"/>
          <w:color w:val="000000"/>
          <w:sz w:val="17"/>
          <w:szCs w:val="17"/>
          <w:lang w:eastAsia="tr-TR"/>
        </w:rPr>
        <w:t xml:space="preserve">- AB menşeli olan 94.01, 94.02, 94.03 ve 94.04 tarife pozisyonlarında yer alan eşyanın serbest dolaşıma giriş işlemlerinin ise eşyanın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c</w:t>
      </w:r>
      <w:proofErr w:type="gramEnd"/>
      <w:r w:rsidRPr="00806B22">
        <w:rPr>
          <w:rFonts w:ascii="Arial" w:eastAsia="Times New Roman" w:hAnsi="Arial" w:cs="Arial"/>
          <w:color w:val="000000"/>
          <w:sz w:val="17"/>
          <w:szCs w:val="17"/>
          <w:lang w:eastAsia="tr-TR"/>
        </w:rPr>
        <w:t xml:space="preserve">- Yatırım Teşvik Belgesi kapsamında Türkiye Gümrük Bölgesine getirilen 4458 sayılı Gümrük Kanununun </w:t>
      </w:r>
      <w:hyperlink r:id="rId28" w:anchor="M168" w:history="1">
        <w:r w:rsidRPr="00806B22">
          <w:rPr>
            <w:rFonts w:ascii="Arial" w:eastAsia="Times New Roman" w:hAnsi="Arial" w:cs="Arial"/>
            <w:color w:val="000080"/>
            <w:sz w:val="17"/>
            <w:u w:val="single"/>
            <w:lang w:eastAsia="tr-TR"/>
          </w:rPr>
          <w:t>168</w:t>
        </w:r>
      </w:hyperlink>
      <w:r w:rsidRPr="00806B22">
        <w:rPr>
          <w:rFonts w:ascii="Arial" w:eastAsia="Times New Roman" w:hAnsi="Arial" w:cs="Arial"/>
          <w:color w:val="000000"/>
          <w:sz w:val="17"/>
          <w:szCs w:val="17"/>
          <w:lang w:eastAsia="tr-TR"/>
        </w:rPr>
        <w:t xml:space="preserve"> ve </w:t>
      </w:r>
      <w:hyperlink r:id="rId29" w:anchor="M135" w:history="1">
        <w:r w:rsidRPr="00806B22">
          <w:rPr>
            <w:rFonts w:ascii="Arial" w:eastAsia="Times New Roman" w:hAnsi="Arial" w:cs="Arial"/>
            <w:color w:val="000080"/>
            <w:sz w:val="17"/>
            <w:u w:val="single"/>
            <w:lang w:eastAsia="tr-TR"/>
          </w:rPr>
          <w:t>135 inci</w:t>
        </w:r>
      </w:hyperlink>
      <w:r w:rsidRPr="00806B22">
        <w:rPr>
          <w:rFonts w:ascii="Arial" w:eastAsia="Times New Roman" w:hAnsi="Arial" w:cs="Arial"/>
          <w:color w:val="000000"/>
          <w:sz w:val="17"/>
          <w:szCs w:val="17"/>
          <w:lang w:eastAsia="tr-TR"/>
        </w:rPr>
        <w:t xml:space="preserve"> maddeleri kapsamında Türkiye Gümrük Bölgesinden çıkarıldıktan sonra tekrar geri getirilen ve aynı Kanunun </w:t>
      </w:r>
      <w:hyperlink r:id="rId30" w:anchor="M167" w:history="1">
        <w:r w:rsidRPr="00806B22">
          <w:rPr>
            <w:rFonts w:ascii="Arial" w:eastAsia="Times New Roman" w:hAnsi="Arial" w:cs="Arial"/>
            <w:color w:val="000080"/>
            <w:sz w:val="17"/>
            <w:u w:val="single"/>
            <w:lang w:eastAsia="tr-TR"/>
          </w:rPr>
          <w:t xml:space="preserve">167 </w:t>
        </w:r>
        <w:proofErr w:type="spellStart"/>
        <w:r w:rsidRPr="00806B22">
          <w:rPr>
            <w:rFonts w:ascii="Arial" w:eastAsia="Times New Roman" w:hAnsi="Arial" w:cs="Arial"/>
            <w:color w:val="000080"/>
            <w:sz w:val="17"/>
            <w:u w:val="single"/>
            <w:lang w:eastAsia="tr-TR"/>
          </w:rPr>
          <w:t>nci</w:t>
        </w:r>
        <w:proofErr w:type="spellEnd"/>
      </w:hyperlink>
      <w:r w:rsidRPr="00806B22">
        <w:rPr>
          <w:rFonts w:ascii="Arial" w:eastAsia="Times New Roman" w:hAnsi="Arial" w:cs="Arial"/>
          <w:color w:val="000000"/>
          <w:sz w:val="17"/>
          <w:szCs w:val="17"/>
          <w:lang w:eastAsia="tr-TR"/>
        </w:rPr>
        <w:t xml:space="preserve"> maddesinin birinci ve ikinci fıkraları ile beşinci fıkrasının (b), (c), (d), (e) ve (f) </w:t>
      </w:r>
      <w:proofErr w:type="spellStart"/>
      <w:r w:rsidRPr="00806B22">
        <w:rPr>
          <w:rFonts w:ascii="Arial" w:eastAsia="Times New Roman" w:hAnsi="Arial" w:cs="Arial"/>
          <w:color w:val="000000"/>
          <w:sz w:val="17"/>
          <w:szCs w:val="17"/>
          <w:lang w:eastAsia="tr-TR"/>
        </w:rPr>
        <w:t>bendleri</w:t>
      </w:r>
      <w:proofErr w:type="spellEnd"/>
      <w:r w:rsidRPr="00806B22">
        <w:rPr>
          <w:rFonts w:ascii="Arial" w:eastAsia="Times New Roman" w:hAnsi="Arial" w:cs="Arial"/>
          <w:color w:val="000000"/>
          <w:sz w:val="17"/>
          <w:szCs w:val="17"/>
          <w:lang w:eastAsia="tr-TR"/>
        </w:rPr>
        <w:t xml:space="preserve"> kapsamında gelen söz konusu eşyanın gümrük işlemlerinin geldiği yetkili gümrük idaresinden gerçekleştirilmesi,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d</w:t>
      </w:r>
      <w:proofErr w:type="gramEnd"/>
      <w:r w:rsidRPr="00806B22">
        <w:rPr>
          <w:rFonts w:ascii="Arial" w:eastAsia="Times New Roman" w:hAnsi="Arial" w:cs="Arial"/>
          <w:color w:val="000000"/>
          <w:sz w:val="17"/>
          <w:szCs w:val="17"/>
          <w:lang w:eastAsia="tr-TR"/>
        </w:rPr>
        <w:t xml:space="preserve">- AB menşeli olmayan 9401.10, 9401.20.00.00.00, 9401.90.10.00.00, 9401.90.80.00.11 </w:t>
      </w:r>
      <w:proofErr w:type="spellStart"/>
      <w:r w:rsidRPr="00806B22">
        <w:rPr>
          <w:rFonts w:ascii="Arial" w:eastAsia="Times New Roman" w:hAnsi="Arial" w:cs="Arial"/>
          <w:color w:val="000000"/>
          <w:sz w:val="17"/>
          <w:szCs w:val="17"/>
          <w:lang w:eastAsia="tr-TR"/>
        </w:rPr>
        <w:t>GTİP’lerinde</w:t>
      </w:r>
      <w:proofErr w:type="spellEnd"/>
      <w:r w:rsidRPr="00806B22">
        <w:rPr>
          <w:rFonts w:ascii="Arial" w:eastAsia="Times New Roman" w:hAnsi="Arial" w:cs="Arial"/>
          <w:color w:val="000000"/>
          <w:sz w:val="17"/>
          <w:szCs w:val="17"/>
          <w:lang w:eastAsia="tr-TR"/>
        </w:rPr>
        <w:t xml:space="preserve"> yer alan ve motorlu araçlarda kullanılan mobilyaların serbest dolaşıma giriş işlemlerinin eşyanın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e</w:t>
      </w:r>
      <w:proofErr w:type="gramEnd"/>
      <w:r w:rsidRPr="00806B22">
        <w:rPr>
          <w:rFonts w:ascii="Arial" w:eastAsia="Times New Roman" w:hAnsi="Arial" w:cs="Arial"/>
          <w:color w:val="000000"/>
          <w:sz w:val="17"/>
          <w:szCs w:val="17"/>
          <w:lang w:eastAsia="tr-TR"/>
        </w:rPr>
        <w:t xml:space="preserve">- AB menşeli olmayan 94.02 tarife pozisyonunda yer alan tıpta, cerrahide, diş hekimliğinde ve veterinerlikte kullanılan mobilyaların serbest dolaşıma giriş işlemlerinin; bu maddenin (a) fıkrasında belirtilen gümrük müdürlüklerine ilave olarak İstanbul Gümrük ve Muhafaza Başmüdürlüğüne bağlı Atatürk Havalimanı </w:t>
      </w:r>
      <w:r w:rsidRPr="00806B22">
        <w:rPr>
          <w:rFonts w:ascii="Arial" w:eastAsia="Times New Roman" w:hAnsi="Arial" w:cs="Arial"/>
          <w:b/>
          <w:bCs/>
          <w:color w:val="000000"/>
          <w:sz w:val="17"/>
          <w:szCs w:val="17"/>
          <w:lang w:eastAsia="tr-TR"/>
        </w:rPr>
        <w:t>Kargo</w:t>
      </w:r>
      <w:r w:rsidRPr="00806B22">
        <w:rPr>
          <w:rFonts w:ascii="Arial" w:eastAsia="Times New Roman" w:hAnsi="Arial" w:cs="Arial"/>
          <w:color w:val="000000"/>
          <w:sz w:val="17"/>
          <w:szCs w:val="17"/>
          <w:lang w:eastAsia="tr-TR"/>
        </w:rPr>
        <w:t xml:space="preserve"> Gümrük Müdürlüğü ile Ankara Gümrük ve Muhafaza Başmüdürlüğüne bağlı Esenboğa Gümrük Müdürlüğünden gerçekleştirilmesi,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f</w:t>
      </w:r>
      <w:proofErr w:type="gramEnd"/>
      <w:r w:rsidRPr="00806B22">
        <w:rPr>
          <w:rFonts w:ascii="Arial" w:eastAsia="Times New Roman" w:hAnsi="Arial" w:cs="Arial"/>
          <w:color w:val="000000"/>
          <w:sz w:val="17"/>
          <w:szCs w:val="17"/>
          <w:lang w:eastAsia="tr-TR"/>
        </w:rPr>
        <w:t xml:space="preserve">- Serbest bölgede mobilya imalatı yaptığını belgeleyen firmaların serbest bölgede imal ettikleri ve gümrük idaresince Türk Menşeli olduğu belirlenen 94.01, 94.02, 94.03 ve 94.04 tarife pozisyonlarında yer alan (alt pozisyonlar dahil) eşyanın, serbest dolaşıma giriş işlemlerinin serbest bölgenin gümrük işlemlerini yapan gümrük müdürlüklerinden gerçekleştirilmesi,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g</w:t>
      </w:r>
      <w:proofErr w:type="gramEnd"/>
      <w:r w:rsidRPr="00806B22">
        <w:rPr>
          <w:rFonts w:ascii="Arial" w:eastAsia="Times New Roman" w:hAnsi="Arial" w:cs="Arial"/>
          <w:color w:val="000000"/>
          <w:sz w:val="17"/>
          <w:szCs w:val="17"/>
          <w:lang w:eastAsia="tr-TR"/>
        </w:rPr>
        <w:t xml:space="preserve">- Miktar ve kullanım alanı itibariyle ticari nitelik arz etmeyen mobilyaların serbest dolaşıma giriş işlemlerinin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4" w:name="M5"/>
      <w:r w:rsidRPr="00806B22">
        <w:rPr>
          <w:rFonts w:ascii="Arial" w:eastAsia="Times New Roman" w:hAnsi="Arial" w:cs="Arial"/>
          <w:b/>
          <w:bCs/>
          <w:color w:val="000000"/>
          <w:sz w:val="17"/>
          <w:szCs w:val="17"/>
          <w:lang w:eastAsia="tr-TR"/>
        </w:rPr>
        <w:t>5. Porselen ve Seramikten Sofra ve Mutfak Eşyası İhtisas Gümrüğü Uygulaması</w:t>
      </w:r>
      <w:bookmarkEnd w:id="4"/>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 </w:t>
      </w:r>
      <w:proofErr w:type="gramStart"/>
      <w:r w:rsidRPr="00806B22">
        <w:rPr>
          <w:rFonts w:ascii="Arial" w:eastAsia="Times New Roman" w:hAnsi="Arial" w:cs="Arial"/>
          <w:color w:val="000000"/>
          <w:sz w:val="17"/>
          <w:szCs w:val="17"/>
          <w:lang w:eastAsia="tr-TR"/>
        </w:rPr>
        <w:t>6911.10</w:t>
      </w:r>
      <w:proofErr w:type="gramEnd"/>
      <w:r w:rsidRPr="00806B22">
        <w:rPr>
          <w:rFonts w:ascii="Arial" w:eastAsia="Times New Roman" w:hAnsi="Arial" w:cs="Arial"/>
          <w:color w:val="000000"/>
          <w:sz w:val="17"/>
          <w:szCs w:val="17"/>
          <w:lang w:eastAsia="tr-TR"/>
        </w:rPr>
        <w:t xml:space="preserve"> gümrük tarife alt pozisyonunda yer alan “Porselenden Sofra ve Mutfak Eşyası” ile 6912.00 gümrük tarife alt pozisyonunda yer alan yalnızca “Seramikten Sofra ve Mutfak Eşyası” </w:t>
      </w:r>
      <w:proofErr w:type="spellStart"/>
      <w:r w:rsidRPr="00806B22">
        <w:rPr>
          <w:rFonts w:ascii="Arial" w:eastAsia="Times New Roman" w:hAnsi="Arial" w:cs="Arial"/>
          <w:color w:val="000000"/>
          <w:sz w:val="17"/>
          <w:szCs w:val="17"/>
          <w:lang w:eastAsia="tr-TR"/>
        </w:rPr>
        <w:t>nın</w:t>
      </w:r>
      <w:proofErr w:type="spellEnd"/>
      <w:r w:rsidRPr="00806B22">
        <w:rPr>
          <w:rFonts w:ascii="Arial" w:eastAsia="Times New Roman" w:hAnsi="Arial" w:cs="Arial"/>
          <w:color w:val="000000"/>
          <w:sz w:val="17"/>
          <w:szCs w:val="17"/>
          <w:lang w:eastAsia="tr-TR"/>
        </w:rPr>
        <w:t xml:space="preserve"> (Seramikten diğer ev eşyası ve tuvalet eşyası hariç) herhangi bir ülke ayırımı yapılmaksızın serbest dolaşıma giriş işlemlerinin, Ankara Gümrük ve Muhafaza Başmüdürlüğüne bağlı Ankara TIR Gümrük Müdürlüğü, İzmir Gümrük ve Muhafaza Başmüdürlüğüne bağlı İzmir TIR Gümrük Müdürlüğü ve İstanbul Gümrük ve Muhafaza Başmüdürlüğüne bağlı Erenköy Gümrük Müdürlüğünden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 Yatırım Teşvik Belgesi kapsamında Türkiye Gümrük Bölgesine getirilen söz konusu eşyanın serbest dolaşıma giriş işlemlerinin eşyanın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c) 4458 sayılı Gümrük Kanununun </w:t>
      </w:r>
      <w:hyperlink r:id="rId31" w:anchor="M135" w:history="1">
        <w:r w:rsidRPr="00806B22">
          <w:rPr>
            <w:rFonts w:ascii="Arial" w:eastAsia="Times New Roman" w:hAnsi="Arial" w:cs="Arial"/>
            <w:color w:val="000080"/>
            <w:sz w:val="17"/>
            <w:u w:val="single"/>
            <w:lang w:eastAsia="tr-TR"/>
          </w:rPr>
          <w:t>135</w:t>
        </w:r>
      </w:hyperlink>
      <w:r w:rsidRPr="00806B22">
        <w:rPr>
          <w:rFonts w:ascii="Arial" w:eastAsia="Times New Roman" w:hAnsi="Arial" w:cs="Arial"/>
          <w:color w:val="000000"/>
          <w:sz w:val="17"/>
          <w:szCs w:val="17"/>
          <w:lang w:eastAsia="tr-TR"/>
        </w:rPr>
        <w:t xml:space="preserve"> ve </w:t>
      </w:r>
      <w:hyperlink r:id="rId32" w:anchor="M168" w:history="1">
        <w:r w:rsidRPr="00806B22">
          <w:rPr>
            <w:rFonts w:ascii="Arial" w:eastAsia="Times New Roman" w:hAnsi="Arial" w:cs="Arial"/>
            <w:color w:val="000080"/>
            <w:sz w:val="17"/>
            <w:u w:val="single"/>
            <w:lang w:eastAsia="tr-TR"/>
          </w:rPr>
          <w:t>168 inci</w:t>
        </w:r>
      </w:hyperlink>
      <w:r w:rsidRPr="00806B22">
        <w:rPr>
          <w:rFonts w:ascii="Arial" w:eastAsia="Times New Roman" w:hAnsi="Arial" w:cs="Arial"/>
          <w:color w:val="000000"/>
          <w:sz w:val="17"/>
          <w:szCs w:val="17"/>
          <w:lang w:eastAsia="tr-TR"/>
        </w:rPr>
        <w:t xml:space="preserve"> maddeleri kapsamında Türkiye Gümrük Bölgesine getirilen söz konusu eşyanın serbest dolaşıma giriş işlemlerinin eşyanın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5" w:name="M6"/>
      <w:r w:rsidRPr="00806B22">
        <w:rPr>
          <w:rFonts w:ascii="Arial" w:eastAsia="Times New Roman" w:hAnsi="Arial" w:cs="Arial"/>
          <w:b/>
          <w:bCs/>
          <w:color w:val="000000"/>
          <w:sz w:val="17"/>
          <w:szCs w:val="17"/>
          <w:lang w:eastAsia="tr-TR"/>
        </w:rPr>
        <w:t>6. Çakmak İhtisas Gümrüğü Uygulaması</w:t>
      </w:r>
      <w:bookmarkEnd w:id="5"/>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 Avrupa Birliği menşeli olmayan 96.13 tarife pozisyonunda yer alan “çakmaklar ve diğer ateşleyiciler (mekanik veya elektrikli olsun olmasın) ve bunların aksam ve parçaları (çakmak taşları ve fitilleri hariç)” isimli eşyanın serbest dolaşıma giriş işlemlerinin sadece Ankara TIR Gümrük Müdürlüğünden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 9613.80 gümrük tarife alt pozisyonunda yer alan, “Diğer çakmak ve ateşleyiciler” ile 9613.90.00.00.19 Gümrük Tarife İstatistik Pozisyonunda yer alan eşyanın (yakıt hazneleri ve 9613.90.00.00.11 Gümrük Tarife İstatistik Pozisyonuna </w:t>
      </w:r>
      <w:proofErr w:type="gramStart"/>
      <w:r w:rsidRPr="00806B22">
        <w:rPr>
          <w:rFonts w:ascii="Arial" w:eastAsia="Times New Roman" w:hAnsi="Arial" w:cs="Arial"/>
          <w:color w:val="000000"/>
          <w:sz w:val="17"/>
          <w:szCs w:val="17"/>
          <w:lang w:eastAsia="tr-TR"/>
        </w:rPr>
        <w:t>dahil</w:t>
      </w:r>
      <w:proofErr w:type="gramEnd"/>
      <w:r w:rsidRPr="00806B22">
        <w:rPr>
          <w:rFonts w:ascii="Arial" w:eastAsia="Times New Roman" w:hAnsi="Arial" w:cs="Arial"/>
          <w:color w:val="000000"/>
          <w:sz w:val="17"/>
          <w:szCs w:val="17"/>
          <w:lang w:eastAsia="tr-TR"/>
        </w:rPr>
        <w:t xml:space="preserve"> eşya hariç) serbest dolaşıma giriş işlemlerinin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c) Yalnızca Türkiye’de çakmak imalatçısı olarak faaliyet gösteren ve bu durumunu Sanayi ve Ticaret Bakanlığınca onaylı “Kapasite Raporu” ile tevsik eden firmalar tarafından getirilecek olan ve 9613.90.00.00.11 Gümrük Tarife İstatistik Pozisyonu ile 9613.90.00.00.19 Gümrük Tarife İstatistik Pozisyonuna </w:t>
      </w:r>
      <w:proofErr w:type="gramStart"/>
      <w:r w:rsidRPr="00806B22">
        <w:rPr>
          <w:rFonts w:ascii="Arial" w:eastAsia="Times New Roman" w:hAnsi="Arial" w:cs="Arial"/>
          <w:color w:val="000000"/>
          <w:sz w:val="17"/>
          <w:szCs w:val="17"/>
          <w:lang w:eastAsia="tr-TR"/>
        </w:rPr>
        <w:t>dahil</w:t>
      </w:r>
      <w:proofErr w:type="gramEnd"/>
      <w:r w:rsidRPr="00806B22">
        <w:rPr>
          <w:rFonts w:ascii="Arial" w:eastAsia="Times New Roman" w:hAnsi="Arial" w:cs="Arial"/>
          <w:color w:val="000000"/>
          <w:sz w:val="17"/>
          <w:szCs w:val="17"/>
          <w:lang w:eastAsia="tr-TR"/>
        </w:rPr>
        <w:t xml:space="preserve"> yakıt haznelerinin serbest dolaşıma giriş işlemlerinin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d) 96.13 gümrük tarife pozisyonunda yer alan “çakmaklar ve diğer ateşleyiciler (mekanik veya elektrikli olsun olmasın) ve bunların aksam ve parçaları (çakmak taşları ve fitilleri hariç)” isimli eşyanın Türkiye Gümrük Bölgesine Yatırım Teşvik Belgesi kapsamında getirilmesi halinde, serbest dolaşıma giriş işlemlerinin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lastRenderedPageBreak/>
        <w:t xml:space="preserve">e) 96.13 gümrük tarife pozisyonunda yer alan eşyanın, 4458 sayılı Gümrük Kanununun </w:t>
      </w:r>
      <w:hyperlink r:id="rId33" w:anchor="M135" w:history="1">
        <w:r w:rsidRPr="00806B22">
          <w:rPr>
            <w:rFonts w:ascii="Arial" w:eastAsia="Times New Roman" w:hAnsi="Arial" w:cs="Arial"/>
            <w:color w:val="000080"/>
            <w:sz w:val="17"/>
            <w:u w:val="single"/>
            <w:lang w:eastAsia="tr-TR"/>
          </w:rPr>
          <w:t>135</w:t>
        </w:r>
      </w:hyperlink>
      <w:r w:rsidRPr="00806B22">
        <w:rPr>
          <w:rFonts w:ascii="Arial" w:eastAsia="Times New Roman" w:hAnsi="Arial" w:cs="Arial"/>
          <w:color w:val="000000"/>
          <w:sz w:val="17"/>
          <w:szCs w:val="17"/>
          <w:lang w:eastAsia="tr-TR"/>
        </w:rPr>
        <w:t xml:space="preserve"> ve </w:t>
      </w:r>
      <w:hyperlink r:id="rId34" w:anchor="M168" w:history="1">
        <w:r w:rsidRPr="00806B22">
          <w:rPr>
            <w:rFonts w:ascii="Arial" w:eastAsia="Times New Roman" w:hAnsi="Arial" w:cs="Arial"/>
            <w:color w:val="000080"/>
            <w:sz w:val="17"/>
            <w:u w:val="single"/>
            <w:lang w:eastAsia="tr-TR"/>
          </w:rPr>
          <w:t>168 inci</w:t>
        </w:r>
      </w:hyperlink>
      <w:r w:rsidRPr="00806B22">
        <w:rPr>
          <w:rFonts w:ascii="Arial" w:eastAsia="Times New Roman" w:hAnsi="Arial" w:cs="Arial"/>
          <w:color w:val="000000"/>
          <w:sz w:val="17"/>
          <w:szCs w:val="17"/>
          <w:lang w:eastAsia="tr-TR"/>
        </w:rPr>
        <w:t xml:space="preserve"> maddeleri kapsamında Türkiye Gümrük Bölgesine getirilmesi halinde, serbest dolaşıma giriş işlemlerinin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6" w:name="M7"/>
      <w:r w:rsidRPr="00806B22">
        <w:rPr>
          <w:rFonts w:ascii="Arial" w:eastAsia="Times New Roman" w:hAnsi="Arial" w:cs="Arial"/>
          <w:b/>
          <w:bCs/>
          <w:color w:val="000000"/>
          <w:sz w:val="17"/>
          <w:szCs w:val="17"/>
          <w:lang w:eastAsia="tr-TR"/>
        </w:rPr>
        <w:t>7. Düz Cam İhtisas Gümrüğü Uygulaması</w:t>
      </w:r>
      <w:bookmarkEnd w:id="6"/>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 AB menşeli olmayan 70.04 ve 70.05 tarife pozisyonlu (alt pozisyonlar </w:t>
      </w:r>
      <w:proofErr w:type="gramStart"/>
      <w:r w:rsidRPr="00806B22">
        <w:rPr>
          <w:rFonts w:ascii="Arial" w:eastAsia="Times New Roman" w:hAnsi="Arial" w:cs="Arial"/>
          <w:color w:val="000000"/>
          <w:sz w:val="17"/>
          <w:szCs w:val="17"/>
          <w:lang w:eastAsia="tr-TR"/>
        </w:rPr>
        <w:t>dahil</w:t>
      </w:r>
      <w:proofErr w:type="gramEnd"/>
      <w:r w:rsidRPr="00806B22">
        <w:rPr>
          <w:rFonts w:ascii="Arial" w:eastAsia="Times New Roman" w:hAnsi="Arial" w:cs="Arial"/>
          <w:color w:val="000000"/>
          <w:sz w:val="17"/>
          <w:szCs w:val="17"/>
          <w:lang w:eastAsia="tr-TR"/>
        </w:rPr>
        <w:t xml:space="preserve">, 7005.30.00.00.00 </w:t>
      </w:r>
      <w:proofErr w:type="spellStart"/>
      <w:r w:rsidRPr="00806B22">
        <w:rPr>
          <w:rFonts w:ascii="Arial" w:eastAsia="Times New Roman" w:hAnsi="Arial" w:cs="Arial"/>
          <w:color w:val="000000"/>
          <w:sz w:val="17"/>
          <w:szCs w:val="17"/>
          <w:lang w:eastAsia="tr-TR"/>
        </w:rPr>
        <w:t>GTİP’i</w:t>
      </w:r>
      <w:proofErr w:type="spellEnd"/>
      <w:r w:rsidRPr="00806B22">
        <w:rPr>
          <w:rFonts w:ascii="Arial" w:eastAsia="Times New Roman" w:hAnsi="Arial" w:cs="Arial"/>
          <w:color w:val="000000"/>
          <w:sz w:val="17"/>
          <w:szCs w:val="17"/>
          <w:lang w:eastAsia="tr-TR"/>
        </w:rPr>
        <w:t xml:space="preserve"> hariç) </w:t>
      </w:r>
      <w:proofErr w:type="spellStart"/>
      <w:r w:rsidRPr="00806B22">
        <w:rPr>
          <w:rFonts w:ascii="Arial" w:eastAsia="Times New Roman" w:hAnsi="Arial" w:cs="Arial"/>
          <w:color w:val="000000"/>
          <w:sz w:val="17"/>
          <w:szCs w:val="17"/>
          <w:lang w:eastAsia="tr-TR"/>
        </w:rPr>
        <w:t>düzcamın</w:t>
      </w:r>
      <w:proofErr w:type="spellEnd"/>
      <w:r w:rsidRPr="00806B22">
        <w:rPr>
          <w:rFonts w:ascii="Arial" w:eastAsia="Times New Roman" w:hAnsi="Arial" w:cs="Arial"/>
          <w:color w:val="000000"/>
          <w:sz w:val="17"/>
          <w:szCs w:val="17"/>
          <w:lang w:eastAsia="tr-TR"/>
        </w:rPr>
        <w:t xml:space="preserve"> serbest dolaşıma giriş işlemlerinin Ankara Gümrük ve Muhafaza Başmüdürlüğü’ne bağlı Kayseri Gümrük Müdürlüğü ve Ankara TIR Gümrük Müdürlüğü, İzmir Gümrük ve Muhafaza Başmüdürlüğü’ne bağlı İzmir TIR Gümrük Müdürlüğü, İstanbul Gümrük ve Muhafaza Başmüdürlüğüne bağlı Halkalı Gümrük Müdürlüğü, Haydarpaşa Gümrük Müdürlüğü ve Ambarlı Gümrük Müdürlüğü, Antalya Gümrük ve Muhafaza Başmüdürlüğü’ne bağlı Antalya Gümrük Müdürlüğü, Mersin Gümrük ve Muhafaza Başmüdürlüğü’ne bağlı Mersin Gümrük Müdürlüğü, Trabzon Gümrük ve Muhafaza Başmüdürlüğü’ne bağlı Trabzon Gümrük Müdürlüğü, İzmit Gümrük ve Muhafaza Başmüdürlüğüne bağlı </w:t>
      </w:r>
      <w:proofErr w:type="spellStart"/>
      <w:r w:rsidRPr="00806B22">
        <w:rPr>
          <w:rFonts w:ascii="Arial" w:eastAsia="Times New Roman" w:hAnsi="Arial" w:cs="Arial"/>
          <w:b/>
          <w:bCs/>
          <w:color w:val="000000"/>
          <w:sz w:val="17"/>
          <w:szCs w:val="17"/>
          <w:lang w:eastAsia="tr-TR"/>
        </w:rPr>
        <w:t>Dilovası</w:t>
      </w:r>
      <w:proofErr w:type="spellEnd"/>
      <w:r w:rsidRPr="00806B22">
        <w:rPr>
          <w:rFonts w:ascii="Arial" w:eastAsia="Times New Roman" w:hAnsi="Arial" w:cs="Arial"/>
          <w:color w:val="000000"/>
          <w:sz w:val="17"/>
          <w:szCs w:val="17"/>
          <w:lang w:eastAsia="tr-TR"/>
        </w:rPr>
        <w:t xml:space="preserve"> Gümrük Müdürlüğü, Bursa Gümrük ve Muhafaza Başmüdürlüğü’ne bağlı Gemlik Gümrük Müdürlüğü, Edirne Gümrük ve Muhafaza Başmüdürlüğü’ne bağlı Tekirdağ Gümrük Müdürlüğü ile söz konusu eşyanın deniz yoluyla gelmesi kaydıyla İzmir Gümrük ve Muhafaza Başmüdürlüğü’ne bağlı Aliağa Gümrük Müdürlüğünden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 Miktar ve kullanım alanı itibariyle ticari nitelik </w:t>
      </w:r>
      <w:proofErr w:type="spellStart"/>
      <w:r w:rsidRPr="00806B22">
        <w:rPr>
          <w:rFonts w:ascii="Arial" w:eastAsia="Times New Roman" w:hAnsi="Arial" w:cs="Arial"/>
          <w:color w:val="000000"/>
          <w:sz w:val="17"/>
          <w:szCs w:val="17"/>
          <w:lang w:eastAsia="tr-TR"/>
        </w:rPr>
        <w:t>arzetmeyen</w:t>
      </w:r>
      <w:proofErr w:type="spellEnd"/>
      <w:r w:rsidRPr="00806B22">
        <w:rPr>
          <w:rFonts w:ascii="Arial" w:eastAsia="Times New Roman" w:hAnsi="Arial" w:cs="Arial"/>
          <w:color w:val="000000"/>
          <w:sz w:val="17"/>
          <w:szCs w:val="17"/>
          <w:lang w:eastAsia="tr-TR"/>
        </w:rPr>
        <w:t xml:space="preserve"> 100 kg.a kadar (100 kg. </w:t>
      </w:r>
      <w:proofErr w:type="gramStart"/>
      <w:r w:rsidRPr="00806B22">
        <w:rPr>
          <w:rFonts w:ascii="Arial" w:eastAsia="Times New Roman" w:hAnsi="Arial" w:cs="Arial"/>
          <w:color w:val="000000"/>
          <w:sz w:val="17"/>
          <w:szCs w:val="17"/>
          <w:lang w:eastAsia="tr-TR"/>
        </w:rPr>
        <w:t>dahil</w:t>
      </w:r>
      <w:proofErr w:type="gramEnd"/>
      <w:r w:rsidRPr="00806B22">
        <w:rPr>
          <w:rFonts w:ascii="Arial" w:eastAsia="Times New Roman" w:hAnsi="Arial" w:cs="Arial"/>
          <w:color w:val="000000"/>
          <w:sz w:val="17"/>
          <w:szCs w:val="17"/>
          <w:lang w:eastAsia="tr-TR"/>
        </w:rPr>
        <w:t xml:space="preserve">) söz konusu eşyanın serbest dolaşıma giriş işlemlerinin eşyanın geldiği yetkili gümrük idaresinden yapılması,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c) Yatırım Teşvik Belgesi kapsamında Türkiye Gümrük Bölgesine getirilen, 4458 sayılı Gümrük Kanununun </w:t>
      </w:r>
      <w:hyperlink r:id="rId35" w:anchor="M135" w:history="1">
        <w:r w:rsidRPr="00806B22">
          <w:rPr>
            <w:rFonts w:ascii="Arial" w:eastAsia="Times New Roman" w:hAnsi="Arial" w:cs="Arial"/>
            <w:color w:val="000080"/>
            <w:sz w:val="17"/>
            <w:u w:val="single"/>
            <w:lang w:eastAsia="tr-TR"/>
          </w:rPr>
          <w:t>135</w:t>
        </w:r>
      </w:hyperlink>
      <w:r w:rsidRPr="00806B22">
        <w:rPr>
          <w:rFonts w:ascii="Arial" w:eastAsia="Times New Roman" w:hAnsi="Arial" w:cs="Arial"/>
          <w:color w:val="000000"/>
          <w:sz w:val="17"/>
          <w:szCs w:val="17"/>
          <w:lang w:eastAsia="tr-TR"/>
        </w:rPr>
        <w:t xml:space="preserve"> ve </w:t>
      </w:r>
      <w:hyperlink r:id="rId36" w:anchor="M168" w:history="1">
        <w:r w:rsidRPr="00806B22">
          <w:rPr>
            <w:rFonts w:ascii="Arial" w:eastAsia="Times New Roman" w:hAnsi="Arial" w:cs="Arial"/>
            <w:color w:val="000080"/>
            <w:sz w:val="17"/>
            <w:u w:val="single"/>
            <w:lang w:eastAsia="tr-TR"/>
          </w:rPr>
          <w:t>168 inci</w:t>
        </w:r>
      </w:hyperlink>
      <w:r w:rsidRPr="00806B22">
        <w:rPr>
          <w:rFonts w:ascii="Arial" w:eastAsia="Times New Roman" w:hAnsi="Arial" w:cs="Arial"/>
          <w:color w:val="000000"/>
          <w:sz w:val="17"/>
          <w:szCs w:val="17"/>
          <w:lang w:eastAsia="tr-TR"/>
        </w:rPr>
        <w:t xml:space="preserve"> maddeleri kapsamında Türkiye Gümrük Bölgesinden çıkarıldıktan sonra tekrar geri getirilen söz konusu eşyanın gümrük işlemlerinin geldiği yetkili gümrük idaresinden gerçekleştirilmesi,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7" w:name="M8"/>
      <w:r w:rsidRPr="00806B22">
        <w:rPr>
          <w:rFonts w:ascii="Arial" w:eastAsia="Times New Roman" w:hAnsi="Arial" w:cs="Arial"/>
          <w:b/>
          <w:bCs/>
          <w:color w:val="000000"/>
          <w:sz w:val="17"/>
          <w:szCs w:val="17"/>
          <w:lang w:eastAsia="tr-TR"/>
        </w:rPr>
        <w:t>8. Çay İhtisas Gümrüğü Uygulaması</w:t>
      </w:r>
      <w:bookmarkEnd w:id="7"/>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Tarım ve </w:t>
      </w:r>
      <w:proofErr w:type="spellStart"/>
      <w:r w:rsidRPr="00806B22">
        <w:rPr>
          <w:rFonts w:ascii="Arial" w:eastAsia="Times New Roman" w:hAnsi="Arial" w:cs="Arial"/>
          <w:color w:val="000000"/>
          <w:sz w:val="17"/>
          <w:szCs w:val="17"/>
          <w:lang w:eastAsia="tr-TR"/>
        </w:rPr>
        <w:t>Köyişleri</w:t>
      </w:r>
      <w:proofErr w:type="spellEnd"/>
      <w:r w:rsidRPr="00806B22">
        <w:rPr>
          <w:rFonts w:ascii="Arial" w:eastAsia="Times New Roman" w:hAnsi="Arial" w:cs="Arial"/>
          <w:color w:val="000000"/>
          <w:sz w:val="17"/>
          <w:szCs w:val="17"/>
          <w:lang w:eastAsia="tr-TR"/>
        </w:rPr>
        <w:t xml:space="preserve"> Bakanlığı tarafından </w:t>
      </w:r>
      <w:hyperlink r:id="rId37" w:history="1">
        <w:proofErr w:type="gramStart"/>
        <w:r w:rsidRPr="00806B22">
          <w:rPr>
            <w:rFonts w:ascii="Arial" w:eastAsia="Times New Roman" w:hAnsi="Arial" w:cs="Arial"/>
            <w:color w:val="000080"/>
            <w:sz w:val="17"/>
            <w:u w:val="single"/>
            <w:lang w:eastAsia="tr-TR"/>
          </w:rPr>
          <w:t>21/07/2007</w:t>
        </w:r>
        <w:proofErr w:type="gramEnd"/>
        <w:r w:rsidRPr="00806B22">
          <w:rPr>
            <w:rFonts w:ascii="Arial" w:eastAsia="Times New Roman" w:hAnsi="Arial" w:cs="Arial"/>
            <w:color w:val="000080"/>
            <w:sz w:val="17"/>
            <w:u w:val="single"/>
            <w:lang w:eastAsia="tr-TR"/>
          </w:rPr>
          <w:t xml:space="preserve"> tarihli, 26589 sayılı Resmi Gazetede yayımlanan “İthal ve İhraç Edilecek Gıdaların Giriş ve Çıkış Kapılarının Tespit ve İlanına Dair Tebliğ’de</w:t>
        </w:r>
      </w:hyperlink>
      <w:r w:rsidRPr="00806B22">
        <w:rPr>
          <w:rFonts w:ascii="Arial" w:eastAsia="Times New Roman" w:hAnsi="Arial" w:cs="Arial"/>
          <w:color w:val="000000"/>
          <w:sz w:val="17"/>
          <w:szCs w:val="17"/>
          <w:lang w:eastAsia="tr-TR"/>
        </w:rPr>
        <w:t xml:space="preserve"> Değişiklik Yapılması Hakkında Tebliğ </w:t>
      </w:r>
      <w:hyperlink r:id="rId38" w:history="1">
        <w:r w:rsidRPr="00806B22">
          <w:rPr>
            <w:rFonts w:ascii="Arial" w:eastAsia="Times New Roman" w:hAnsi="Arial" w:cs="Arial"/>
            <w:color w:val="000080"/>
            <w:sz w:val="17"/>
            <w:u w:val="single"/>
            <w:lang w:eastAsia="tr-TR"/>
          </w:rPr>
          <w:t>(Tebliğ No:38)</w:t>
        </w:r>
      </w:hyperlink>
      <w:r w:rsidRPr="00806B22">
        <w:rPr>
          <w:rFonts w:ascii="Arial" w:eastAsia="Times New Roman" w:hAnsi="Arial" w:cs="Arial"/>
          <w:color w:val="000000"/>
          <w:sz w:val="17"/>
          <w:szCs w:val="17"/>
          <w:lang w:eastAsia="tr-TR"/>
        </w:rPr>
        <w:t xml:space="preserve">” ile 09.02 ve 09.03 tarife pozisyonunda yer alan çay için giriş kapısı olarak sadece Trabzon Gümrük ve Muhafaza Başmüdürlüğüne bağlı Rize Gümrük Müdürlüğü belirlenmiştir.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Ancak, gıda ya da gıda sanayi hammaddesi olarak kullanılıp kullanılmadığına bakılmaksızın, 09.02 ve 09.03 tarife pozisyonunda yer alan çayın serbest dolaşıma giriş işlemlerinin sadece Trabzon Gümrük ve Muhafaza Başmüdürlüğüne bağlı Rize Gümrük Müdürlüğünden yapılması 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8" w:name="M9"/>
      <w:r w:rsidRPr="00806B22">
        <w:rPr>
          <w:rFonts w:ascii="Arial" w:eastAsia="Times New Roman" w:hAnsi="Arial" w:cs="Arial"/>
          <w:b/>
          <w:bCs/>
          <w:color w:val="000000"/>
          <w:sz w:val="17"/>
          <w:szCs w:val="17"/>
          <w:lang w:eastAsia="tr-TR"/>
        </w:rPr>
        <w:t>9. LPG İhtisas Gümrüğü Uygulaması</w:t>
      </w:r>
      <w:bookmarkEnd w:id="8"/>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LPG ihtisas gümrüğü uygulaması 2.8.2006 tarihli ve 26247 sayılı Resmi Gazetede yayımlanan </w:t>
      </w:r>
      <w:hyperlink r:id="rId39" w:history="1">
        <w:r w:rsidRPr="00806B22">
          <w:rPr>
            <w:rFonts w:ascii="Arial" w:eastAsia="Times New Roman" w:hAnsi="Arial" w:cs="Arial"/>
            <w:color w:val="000080"/>
            <w:sz w:val="17"/>
            <w:u w:val="single"/>
            <w:lang w:eastAsia="tr-TR"/>
          </w:rPr>
          <w:t xml:space="preserve">51 Seri </w:t>
        </w:r>
        <w:proofErr w:type="spellStart"/>
        <w:r w:rsidRPr="00806B22">
          <w:rPr>
            <w:rFonts w:ascii="Arial" w:eastAsia="Times New Roman" w:hAnsi="Arial" w:cs="Arial"/>
            <w:color w:val="000080"/>
            <w:sz w:val="17"/>
            <w:u w:val="single"/>
            <w:lang w:eastAsia="tr-TR"/>
          </w:rPr>
          <w:t>Nolu</w:t>
        </w:r>
        <w:proofErr w:type="spellEnd"/>
        <w:r w:rsidRPr="00806B22">
          <w:rPr>
            <w:rFonts w:ascii="Arial" w:eastAsia="Times New Roman" w:hAnsi="Arial" w:cs="Arial"/>
            <w:color w:val="000080"/>
            <w:sz w:val="17"/>
            <w:u w:val="single"/>
            <w:lang w:eastAsia="tr-TR"/>
          </w:rPr>
          <w:t xml:space="preserve"> Gümrük Genel Tebliği</w:t>
        </w:r>
      </w:hyperlink>
      <w:r w:rsidRPr="00806B22">
        <w:rPr>
          <w:rFonts w:ascii="Arial" w:eastAsia="Times New Roman" w:hAnsi="Arial" w:cs="Arial"/>
          <w:color w:val="000000"/>
          <w:sz w:val="17"/>
          <w:szCs w:val="17"/>
          <w:lang w:eastAsia="tr-TR"/>
        </w:rPr>
        <w:t xml:space="preserve"> ile değişik 25.6.2005 tarihli ve 25856 sayılı Resmi Gazetede yayımlanan </w:t>
      </w:r>
      <w:hyperlink r:id="rId40" w:history="1">
        <w:r w:rsidRPr="00806B22">
          <w:rPr>
            <w:rFonts w:ascii="Arial" w:eastAsia="Times New Roman" w:hAnsi="Arial" w:cs="Arial"/>
            <w:color w:val="000080"/>
            <w:sz w:val="17"/>
            <w:u w:val="single"/>
            <w:lang w:eastAsia="tr-TR"/>
          </w:rPr>
          <w:t xml:space="preserve">38 Seri </w:t>
        </w:r>
        <w:proofErr w:type="spellStart"/>
        <w:r w:rsidRPr="00806B22">
          <w:rPr>
            <w:rFonts w:ascii="Arial" w:eastAsia="Times New Roman" w:hAnsi="Arial" w:cs="Arial"/>
            <w:color w:val="000080"/>
            <w:sz w:val="17"/>
            <w:u w:val="single"/>
            <w:lang w:eastAsia="tr-TR"/>
          </w:rPr>
          <w:t>Nolu</w:t>
        </w:r>
        <w:proofErr w:type="spellEnd"/>
        <w:r w:rsidRPr="00806B22">
          <w:rPr>
            <w:rFonts w:ascii="Arial" w:eastAsia="Times New Roman" w:hAnsi="Arial" w:cs="Arial"/>
            <w:color w:val="000080"/>
            <w:sz w:val="17"/>
            <w:u w:val="single"/>
            <w:lang w:eastAsia="tr-TR"/>
          </w:rPr>
          <w:t xml:space="preserve"> Gümrük Genel Tebliği</w:t>
        </w:r>
      </w:hyperlink>
      <w:r w:rsidRPr="00806B22">
        <w:rPr>
          <w:rFonts w:ascii="Arial" w:eastAsia="Times New Roman" w:hAnsi="Arial" w:cs="Arial"/>
          <w:color w:val="000000"/>
          <w:sz w:val="17"/>
          <w:szCs w:val="17"/>
          <w:lang w:eastAsia="tr-TR"/>
        </w:rPr>
        <w:t xml:space="preserve"> çerçevesinde yürütülmektedir.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spellStart"/>
      <w:r w:rsidRPr="00806B22">
        <w:rPr>
          <w:rFonts w:ascii="Arial" w:eastAsia="Times New Roman" w:hAnsi="Arial" w:cs="Arial"/>
          <w:color w:val="000000"/>
          <w:sz w:val="17"/>
          <w:szCs w:val="17"/>
          <w:lang w:eastAsia="tr-TR"/>
        </w:rPr>
        <w:t>LPG'nin</w:t>
      </w:r>
      <w:proofErr w:type="spellEnd"/>
      <w:r w:rsidRPr="00806B22">
        <w:rPr>
          <w:rFonts w:ascii="Arial" w:eastAsia="Times New Roman" w:hAnsi="Arial" w:cs="Arial"/>
          <w:color w:val="000000"/>
          <w:sz w:val="17"/>
          <w:szCs w:val="17"/>
          <w:lang w:eastAsia="tr-TR"/>
        </w:rPr>
        <w:t xml:space="preserve">, karayolu taşıtlarına aktarılmadığı müddetçe, serbest dolaşıma giriş rejimine tabi tutulmak üzere yukarıdaki Tebliğ ile yetkilendirilen gümrük müdürlüklerine transit edilmesi mümkün bulunmaktadır.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Bunun yanında </w:t>
      </w:r>
      <w:proofErr w:type="spellStart"/>
      <w:r w:rsidRPr="00806B22">
        <w:rPr>
          <w:rFonts w:ascii="Arial" w:eastAsia="Times New Roman" w:hAnsi="Arial" w:cs="Arial"/>
          <w:color w:val="000000"/>
          <w:sz w:val="17"/>
          <w:szCs w:val="17"/>
          <w:lang w:eastAsia="tr-TR"/>
        </w:rPr>
        <w:t>LPG'nin</w:t>
      </w:r>
      <w:proofErr w:type="spellEnd"/>
      <w:r w:rsidRPr="00806B22">
        <w:rPr>
          <w:rFonts w:ascii="Arial" w:eastAsia="Times New Roman" w:hAnsi="Arial" w:cs="Arial"/>
          <w:color w:val="000000"/>
          <w:sz w:val="17"/>
          <w:szCs w:val="17"/>
          <w:lang w:eastAsia="tr-TR"/>
        </w:rPr>
        <w:t xml:space="preserve"> serbest dolaşıma girişi esnasında mevzuat gereği teknik düzenlemeler kapsamında yapılacak olan tespitlerde gerekli hassasiyetin gösterilmesi 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9" w:name="M10"/>
      <w:r w:rsidRPr="00806B22">
        <w:rPr>
          <w:rFonts w:ascii="Arial" w:eastAsia="Times New Roman" w:hAnsi="Arial" w:cs="Arial"/>
          <w:b/>
          <w:bCs/>
          <w:color w:val="000000"/>
          <w:sz w:val="17"/>
          <w:szCs w:val="17"/>
          <w:lang w:eastAsia="tr-TR"/>
        </w:rPr>
        <w:t xml:space="preserve">10. </w:t>
      </w:r>
      <w:proofErr w:type="spellStart"/>
      <w:r w:rsidRPr="00806B22">
        <w:rPr>
          <w:rFonts w:ascii="Arial" w:eastAsia="Times New Roman" w:hAnsi="Arial" w:cs="Arial"/>
          <w:b/>
          <w:bCs/>
          <w:color w:val="000000"/>
          <w:sz w:val="17"/>
          <w:szCs w:val="17"/>
          <w:lang w:eastAsia="tr-TR"/>
        </w:rPr>
        <w:t>Solvent</w:t>
      </w:r>
      <w:proofErr w:type="spellEnd"/>
      <w:r w:rsidRPr="00806B22">
        <w:rPr>
          <w:rFonts w:ascii="Arial" w:eastAsia="Times New Roman" w:hAnsi="Arial" w:cs="Arial"/>
          <w:b/>
          <w:bCs/>
          <w:color w:val="000000"/>
          <w:sz w:val="17"/>
          <w:szCs w:val="17"/>
          <w:lang w:eastAsia="tr-TR"/>
        </w:rPr>
        <w:t xml:space="preserve"> ve Bazı Petrol Ürünleri İhtisas Gümrüğü Uygulaması</w:t>
      </w:r>
      <w:bookmarkEnd w:id="9"/>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proofErr w:type="spellStart"/>
      <w:r w:rsidRPr="00806B22">
        <w:rPr>
          <w:rFonts w:ascii="Arial" w:eastAsia="Times New Roman" w:hAnsi="Arial" w:cs="Arial"/>
          <w:color w:val="000000"/>
          <w:sz w:val="17"/>
          <w:szCs w:val="17"/>
          <w:lang w:eastAsia="tr-TR"/>
        </w:rPr>
        <w:t>Solvent</w:t>
      </w:r>
      <w:proofErr w:type="spellEnd"/>
      <w:r w:rsidRPr="00806B22">
        <w:rPr>
          <w:rFonts w:ascii="Arial" w:eastAsia="Times New Roman" w:hAnsi="Arial" w:cs="Arial"/>
          <w:color w:val="000000"/>
          <w:sz w:val="17"/>
          <w:szCs w:val="17"/>
          <w:lang w:eastAsia="tr-TR"/>
        </w:rPr>
        <w:t xml:space="preserve"> ve bazı petrol ürünleri ihtisas gümrüğü uygulaması 31.12.2008 tarihli ve 27097 (6. Mükerrer) sayılı Resmi Gazetede yayımlanan </w:t>
      </w:r>
      <w:hyperlink r:id="rId41" w:history="1">
        <w:r w:rsidRPr="00806B22">
          <w:rPr>
            <w:rFonts w:ascii="Arial" w:eastAsia="Times New Roman" w:hAnsi="Arial" w:cs="Arial"/>
            <w:color w:val="000080"/>
            <w:sz w:val="17"/>
            <w:u w:val="single"/>
            <w:lang w:eastAsia="tr-TR"/>
          </w:rPr>
          <w:t xml:space="preserve">67 Seri </w:t>
        </w:r>
        <w:proofErr w:type="spellStart"/>
        <w:r w:rsidRPr="00806B22">
          <w:rPr>
            <w:rFonts w:ascii="Arial" w:eastAsia="Times New Roman" w:hAnsi="Arial" w:cs="Arial"/>
            <w:color w:val="000080"/>
            <w:sz w:val="17"/>
            <w:u w:val="single"/>
            <w:lang w:eastAsia="tr-TR"/>
          </w:rPr>
          <w:t>Nolu</w:t>
        </w:r>
        <w:proofErr w:type="spellEnd"/>
        <w:r w:rsidRPr="00806B22">
          <w:rPr>
            <w:rFonts w:ascii="Arial" w:eastAsia="Times New Roman" w:hAnsi="Arial" w:cs="Arial"/>
            <w:color w:val="000080"/>
            <w:sz w:val="17"/>
            <w:u w:val="single"/>
            <w:lang w:eastAsia="tr-TR"/>
          </w:rPr>
          <w:t xml:space="preserve"> Gümrük Genel Tebliği</w:t>
        </w:r>
      </w:hyperlink>
      <w:r w:rsidRPr="00806B22">
        <w:rPr>
          <w:rFonts w:ascii="Arial" w:eastAsia="Times New Roman" w:hAnsi="Arial" w:cs="Arial"/>
          <w:color w:val="000000"/>
          <w:sz w:val="17"/>
          <w:szCs w:val="17"/>
          <w:lang w:eastAsia="tr-TR"/>
        </w:rPr>
        <w:t xml:space="preserve"> çerçevesinde yürütülmektedir.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 xml:space="preserve">Söz konusu Tebliğ kapsamı ürünlerin aynı zamanda gıda </w:t>
      </w:r>
      <w:proofErr w:type="spellStart"/>
      <w:r w:rsidRPr="00806B22">
        <w:rPr>
          <w:rFonts w:ascii="Arial" w:eastAsia="Times New Roman" w:hAnsi="Arial" w:cs="Arial"/>
          <w:color w:val="000000"/>
          <w:sz w:val="17"/>
          <w:szCs w:val="17"/>
          <w:lang w:eastAsia="tr-TR"/>
        </w:rPr>
        <w:t>sanayiinde</w:t>
      </w:r>
      <w:proofErr w:type="spellEnd"/>
      <w:r w:rsidRPr="00806B22">
        <w:rPr>
          <w:rFonts w:ascii="Arial" w:eastAsia="Times New Roman" w:hAnsi="Arial" w:cs="Arial"/>
          <w:color w:val="000000"/>
          <w:sz w:val="17"/>
          <w:szCs w:val="17"/>
          <w:lang w:eastAsia="tr-TR"/>
        </w:rPr>
        <w:t xml:space="preserve"> kullanılacak olan ürünlerden olması durumunda ithal işlemlerinin, 67 Seri </w:t>
      </w:r>
      <w:proofErr w:type="spellStart"/>
      <w:r w:rsidRPr="00806B22">
        <w:rPr>
          <w:rFonts w:ascii="Arial" w:eastAsia="Times New Roman" w:hAnsi="Arial" w:cs="Arial"/>
          <w:color w:val="000000"/>
          <w:sz w:val="17"/>
          <w:szCs w:val="17"/>
          <w:lang w:eastAsia="tr-TR"/>
        </w:rPr>
        <w:t>Nolu</w:t>
      </w:r>
      <w:proofErr w:type="spellEnd"/>
      <w:r w:rsidRPr="00806B22">
        <w:rPr>
          <w:rFonts w:ascii="Arial" w:eastAsia="Times New Roman" w:hAnsi="Arial" w:cs="Arial"/>
          <w:color w:val="000000"/>
          <w:sz w:val="17"/>
          <w:szCs w:val="17"/>
          <w:lang w:eastAsia="tr-TR"/>
        </w:rPr>
        <w:t xml:space="preserve"> Gümrük Genel Tebliğinde ve Tarım ve </w:t>
      </w:r>
      <w:proofErr w:type="spellStart"/>
      <w:r w:rsidRPr="00806B22">
        <w:rPr>
          <w:rFonts w:ascii="Arial" w:eastAsia="Times New Roman" w:hAnsi="Arial" w:cs="Arial"/>
          <w:color w:val="000000"/>
          <w:sz w:val="17"/>
          <w:szCs w:val="17"/>
          <w:lang w:eastAsia="tr-TR"/>
        </w:rPr>
        <w:t>Köyişleri</w:t>
      </w:r>
      <w:proofErr w:type="spellEnd"/>
      <w:r w:rsidRPr="00806B22">
        <w:rPr>
          <w:rFonts w:ascii="Arial" w:eastAsia="Times New Roman" w:hAnsi="Arial" w:cs="Arial"/>
          <w:color w:val="000000"/>
          <w:sz w:val="17"/>
          <w:szCs w:val="17"/>
          <w:lang w:eastAsia="tr-TR"/>
        </w:rPr>
        <w:t xml:space="preserve"> Bakanlığı tarafından belirlenen </w:t>
      </w:r>
      <w:hyperlink r:id="rId42" w:history="1">
        <w:r w:rsidRPr="00806B22">
          <w:rPr>
            <w:rFonts w:ascii="Arial" w:eastAsia="Times New Roman" w:hAnsi="Arial" w:cs="Arial"/>
            <w:color w:val="000080"/>
            <w:sz w:val="17"/>
            <w:u w:val="single"/>
            <w:lang w:eastAsia="tr-TR"/>
          </w:rPr>
          <w:t>İthal ve İhraç Edilecek Gıdaların Giriş ve Çıkış Kapılarının Tespit ve İlanına Dair Tebliğlerde</w:t>
        </w:r>
      </w:hyperlink>
      <w:r w:rsidRPr="00806B22">
        <w:rPr>
          <w:rFonts w:ascii="Arial" w:eastAsia="Times New Roman" w:hAnsi="Arial" w:cs="Arial"/>
          <w:color w:val="000000"/>
          <w:sz w:val="17"/>
          <w:szCs w:val="17"/>
          <w:lang w:eastAsia="tr-TR"/>
        </w:rPr>
        <w:t xml:space="preserve"> ortak olarak bulunan Ankara TIR Gümrük Müdürlüğü, Aliağa Gümrük Müdürlüğü, İzmir Gümrük Müdürlüğü, Adana Gümrük Müdürlüğü, Bursa Gümrük Müdürlüğü, Gemlik Gümrük Müdürlüğü, Gaziantep Gümrük Müdürlüğü, Tekirdağ Gümrük Müdürlüğü ve </w:t>
      </w:r>
      <w:r w:rsidRPr="00806B22">
        <w:rPr>
          <w:rFonts w:ascii="Arial" w:eastAsia="Times New Roman" w:hAnsi="Arial" w:cs="Arial"/>
          <w:b/>
          <w:bCs/>
          <w:color w:val="000000"/>
          <w:sz w:val="17"/>
          <w:szCs w:val="17"/>
          <w:lang w:eastAsia="tr-TR"/>
        </w:rPr>
        <w:t>Kocaeli</w:t>
      </w:r>
      <w:r w:rsidRPr="00806B22">
        <w:rPr>
          <w:rFonts w:ascii="Arial" w:eastAsia="Times New Roman" w:hAnsi="Arial" w:cs="Arial"/>
          <w:color w:val="000000"/>
          <w:sz w:val="17"/>
          <w:szCs w:val="17"/>
          <w:lang w:eastAsia="tr-TR"/>
        </w:rPr>
        <w:t xml:space="preserve"> Petrokimya Ürünleri İhtisas Gümrük Müdürlüğünden yapılması gerekmektedir.</w:t>
      </w:r>
      <w:proofErr w:type="gramEnd"/>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lastRenderedPageBreak/>
        <w:t xml:space="preserve">Ayrıca, soğuk zincir uygulaması ile gelen, +2/+8 derecelerinde saklanması gereken tüp bebek merkezlerinde kullanılan solüsyonlarla birlikte ithal edilen ve tüp bebek laboratuarında solüsyonlarla beraber kullanılan </w:t>
      </w:r>
      <w:r w:rsidRPr="00806B22">
        <w:rPr>
          <w:rFonts w:ascii="Arial" w:eastAsia="Times New Roman" w:hAnsi="Arial" w:cs="Arial"/>
          <w:b/>
          <w:bCs/>
          <w:color w:val="000000"/>
          <w:sz w:val="17"/>
          <w:szCs w:val="17"/>
          <w:lang w:eastAsia="tr-TR"/>
        </w:rPr>
        <w:t>embriyo kültür ortamlarında kullanılmak üzere hazırlanmış</w:t>
      </w:r>
      <w:r w:rsidRPr="00806B22">
        <w:rPr>
          <w:rFonts w:ascii="Arial" w:eastAsia="Times New Roman" w:hAnsi="Arial" w:cs="Arial"/>
          <w:color w:val="000000"/>
          <w:sz w:val="17"/>
          <w:szCs w:val="17"/>
          <w:lang w:eastAsia="tr-TR"/>
        </w:rPr>
        <w:t xml:space="preserve"> </w:t>
      </w:r>
      <w:r w:rsidRPr="00806B22">
        <w:rPr>
          <w:rFonts w:ascii="Arial" w:eastAsia="Times New Roman" w:hAnsi="Arial" w:cs="Arial"/>
          <w:b/>
          <w:bCs/>
          <w:color w:val="000000"/>
          <w:sz w:val="17"/>
          <w:szCs w:val="17"/>
          <w:lang w:eastAsia="tr-TR"/>
        </w:rPr>
        <w:t>özel yağların</w:t>
      </w:r>
      <w:r w:rsidRPr="00806B22">
        <w:rPr>
          <w:rFonts w:ascii="Arial" w:eastAsia="Times New Roman" w:hAnsi="Arial" w:cs="Arial"/>
          <w:color w:val="000000"/>
          <w:sz w:val="17"/>
          <w:szCs w:val="17"/>
          <w:lang w:eastAsia="tr-TR"/>
        </w:rPr>
        <w:t xml:space="preserve"> insan sağlığı açısından önemi ve +2/+8 derece aralığında muhafaza edilmesinin gerekmesi nedeniyle bozulma riskinin bulunması hususları dikkate alındığında söz konusu eşyanın </w:t>
      </w:r>
      <w:hyperlink r:id="rId43" w:history="1">
        <w:r w:rsidRPr="00806B22">
          <w:rPr>
            <w:rFonts w:ascii="Arial" w:eastAsia="Times New Roman" w:hAnsi="Arial" w:cs="Arial"/>
            <w:color w:val="000080"/>
            <w:sz w:val="17"/>
            <w:u w:val="single"/>
            <w:lang w:eastAsia="tr-TR"/>
          </w:rPr>
          <w:t xml:space="preserve">67 Seri </w:t>
        </w:r>
        <w:proofErr w:type="spellStart"/>
        <w:r w:rsidRPr="00806B22">
          <w:rPr>
            <w:rFonts w:ascii="Arial" w:eastAsia="Times New Roman" w:hAnsi="Arial" w:cs="Arial"/>
            <w:color w:val="000080"/>
            <w:sz w:val="17"/>
            <w:u w:val="single"/>
            <w:lang w:eastAsia="tr-TR"/>
          </w:rPr>
          <w:t>Nolu</w:t>
        </w:r>
        <w:proofErr w:type="spellEnd"/>
        <w:r w:rsidRPr="00806B22">
          <w:rPr>
            <w:rFonts w:ascii="Arial" w:eastAsia="Times New Roman" w:hAnsi="Arial" w:cs="Arial"/>
            <w:color w:val="000080"/>
            <w:sz w:val="17"/>
            <w:u w:val="single"/>
            <w:lang w:eastAsia="tr-TR"/>
          </w:rPr>
          <w:t xml:space="preserve"> Gümrük Genel Tebliği</w:t>
        </w:r>
      </w:hyperlink>
      <w:r w:rsidRPr="00806B22">
        <w:rPr>
          <w:rFonts w:ascii="Arial" w:eastAsia="Times New Roman" w:hAnsi="Arial" w:cs="Arial"/>
          <w:color w:val="000000"/>
          <w:sz w:val="17"/>
          <w:szCs w:val="17"/>
          <w:lang w:eastAsia="tr-TR"/>
        </w:rPr>
        <w:t xml:space="preserve"> çerçevesinde yürütülen ihtisas gümrüğü uygulaması dışında tutulması gerekmektedir.</w:t>
      </w:r>
      <w:proofErr w:type="gramEnd"/>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10" w:name="M11"/>
      <w:r w:rsidRPr="00806B22">
        <w:rPr>
          <w:rFonts w:ascii="Arial" w:eastAsia="Times New Roman" w:hAnsi="Arial" w:cs="Arial"/>
          <w:b/>
          <w:bCs/>
          <w:color w:val="000000"/>
          <w:sz w:val="17"/>
          <w:szCs w:val="17"/>
          <w:lang w:eastAsia="tr-TR"/>
        </w:rPr>
        <w:t>11. Ham Petrol ve Akaryakıt İhtisas Gümrüğü Uygulaması</w:t>
      </w:r>
      <w:bookmarkEnd w:id="10"/>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 xml:space="preserve">Ham petrol ve akaryakıt ihtisas gümrüğü uygulaması 5.6.2007 tarihli ve 26543 sayılı Resmi Gazetede yayımlanan </w:t>
      </w:r>
      <w:hyperlink r:id="rId44" w:history="1">
        <w:r w:rsidRPr="00806B22">
          <w:rPr>
            <w:rFonts w:ascii="Arial" w:eastAsia="Times New Roman" w:hAnsi="Arial" w:cs="Arial"/>
            <w:color w:val="000080"/>
            <w:sz w:val="17"/>
            <w:u w:val="single"/>
            <w:lang w:eastAsia="tr-TR"/>
          </w:rPr>
          <w:t xml:space="preserve">56 Seri </w:t>
        </w:r>
        <w:proofErr w:type="spellStart"/>
        <w:r w:rsidRPr="00806B22">
          <w:rPr>
            <w:rFonts w:ascii="Arial" w:eastAsia="Times New Roman" w:hAnsi="Arial" w:cs="Arial"/>
            <w:color w:val="000080"/>
            <w:sz w:val="17"/>
            <w:u w:val="single"/>
            <w:lang w:eastAsia="tr-TR"/>
          </w:rPr>
          <w:t>Nolu</w:t>
        </w:r>
        <w:proofErr w:type="spellEnd"/>
      </w:hyperlink>
      <w:r w:rsidRPr="00806B22">
        <w:rPr>
          <w:rFonts w:ascii="Arial" w:eastAsia="Times New Roman" w:hAnsi="Arial" w:cs="Arial"/>
          <w:color w:val="000000"/>
          <w:sz w:val="17"/>
          <w:szCs w:val="17"/>
          <w:lang w:eastAsia="tr-TR"/>
        </w:rPr>
        <w:t xml:space="preserve"> ve 31.10.2007 tarihli ve 26686 sayılı Resmi Gazetede yayımlanan </w:t>
      </w:r>
      <w:hyperlink r:id="rId45" w:history="1">
        <w:r w:rsidRPr="00806B22">
          <w:rPr>
            <w:rFonts w:ascii="Arial" w:eastAsia="Times New Roman" w:hAnsi="Arial" w:cs="Arial"/>
            <w:color w:val="000080"/>
            <w:sz w:val="17"/>
            <w:u w:val="single"/>
            <w:lang w:eastAsia="tr-TR"/>
          </w:rPr>
          <w:t xml:space="preserve">58 Seri </w:t>
        </w:r>
        <w:proofErr w:type="spellStart"/>
        <w:r w:rsidRPr="00806B22">
          <w:rPr>
            <w:rFonts w:ascii="Arial" w:eastAsia="Times New Roman" w:hAnsi="Arial" w:cs="Arial"/>
            <w:color w:val="000080"/>
            <w:sz w:val="17"/>
            <w:u w:val="single"/>
            <w:lang w:eastAsia="tr-TR"/>
          </w:rPr>
          <w:t>Nolu</w:t>
        </w:r>
        <w:proofErr w:type="spellEnd"/>
        <w:r w:rsidRPr="00806B22">
          <w:rPr>
            <w:rFonts w:ascii="Arial" w:eastAsia="Times New Roman" w:hAnsi="Arial" w:cs="Arial"/>
            <w:color w:val="000080"/>
            <w:sz w:val="17"/>
            <w:u w:val="single"/>
            <w:lang w:eastAsia="tr-TR"/>
          </w:rPr>
          <w:t xml:space="preserve"> Gümrük Genel Tebliğleri </w:t>
        </w:r>
      </w:hyperlink>
      <w:r w:rsidRPr="00806B22">
        <w:rPr>
          <w:rFonts w:ascii="Arial" w:eastAsia="Times New Roman" w:hAnsi="Arial" w:cs="Arial"/>
          <w:color w:val="000000"/>
          <w:sz w:val="17"/>
          <w:szCs w:val="17"/>
          <w:lang w:eastAsia="tr-TR"/>
        </w:rPr>
        <w:t xml:space="preserve">ile değişik 16.6.2005 tarihli, 25847 sayılı Resmi Gazetede yayımlanan </w:t>
      </w:r>
      <w:hyperlink r:id="rId46" w:history="1">
        <w:r w:rsidRPr="00806B22">
          <w:rPr>
            <w:rFonts w:ascii="Arial" w:eastAsia="Times New Roman" w:hAnsi="Arial" w:cs="Arial"/>
            <w:color w:val="000080"/>
            <w:sz w:val="17"/>
            <w:u w:val="single"/>
            <w:lang w:eastAsia="tr-TR"/>
          </w:rPr>
          <w:t xml:space="preserve">37 Seri </w:t>
        </w:r>
        <w:proofErr w:type="spellStart"/>
        <w:r w:rsidRPr="00806B22">
          <w:rPr>
            <w:rFonts w:ascii="Arial" w:eastAsia="Times New Roman" w:hAnsi="Arial" w:cs="Arial"/>
            <w:color w:val="000080"/>
            <w:sz w:val="17"/>
            <w:u w:val="single"/>
            <w:lang w:eastAsia="tr-TR"/>
          </w:rPr>
          <w:t>Nolu</w:t>
        </w:r>
        <w:proofErr w:type="spellEnd"/>
        <w:r w:rsidRPr="00806B22">
          <w:rPr>
            <w:rFonts w:ascii="Arial" w:eastAsia="Times New Roman" w:hAnsi="Arial" w:cs="Arial"/>
            <w:color w:val="000080"/>
            <w:sz w:val="17"/>
            <w:u w:val="single"/>
            <w:lang w:eastAsia="tr-TR"/>
          </w:rPr>
          <w:t xml:space="preserve"> Gümrük Genel Tebliği</w:t>
        </w:r>
      </w:hyperlink>
      <w:r w:rsidRPr="00806B22">
        <w:rPr>
          <w:rFonts w:ascii="Arial" w:eastAsia="Times New Roman" w:hAnsi="Arial" w:cs="Arial"/>
          <w:color w:val="000000"/>
          <w:sz w:val="17"/>
          <w:szCs w:val="17"/>
          <w:lang w:eastAsia="tr-TR"/>
        </w:rPr>
        <w:t xml:space="preserve"> çerçevesinde yürütülmektedir. </w:t>
      </w:r>
      <w:proofErr w:type="gramEnd"/>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Söz konusu Tebliğ kapsamı Jet yakıtının;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a) </w:t>
      </w:r>
      <w:proofErr w:type="spellStart"/>
      <w:r w:rsidRPr="00806B22">
        <w:rPr>
          <w:rFonts w:ascii="Arial" w:eastAsia="Times New Roman" w:hAnsi="Arial" w:cs="Arial"/>
          <w:color w:val="000000"/>
          <w:sz w:val="17"/>
          <w:szCs w:val="17"/>
          <w:lang w:eastAsia="tr-TR"/>
        </w:rPr>
        <w:t>İhrakiye</w:t>
      </w:r>
      <w:proofErr w:type="spellEnd"/>
      <w:r w:rsidRPr="00806B22">
        <w:rPr>
          <w:rFonts w:ascii="Arial" w:eastAsia="Times New Roman" w:hAnsi="Arial" w:cs="Arial"/>
          <w:color w:val="000000"/>
          <w:sz w:val="17"/>
          <w:szCs w:val="17"/>
          <w:lang w:eastAsia="tr-TR"/>
        </w:rPr>
        <w:t xml:space="preserve"> teslimi lisans sahiplerine Enerji Piyasası Düzenleme Kurumunca verilen </w:t>
      </w:r>
      <w:proofErr w:type="spellStart"/>
      <w:r w:rsidRPr="00806B22">
        <w:rPr>
          <w:rFonts w:ascii="Arial" w:eastAsia="Times New Roman" w:hAnsi="Arial" w:cs="Arial"/>
          <w:color w:val="000000"/>
          <w:sz w:val="17"/>
          <w:szCs w:val="17"/>
          <w:lang w:eastAsia="tr-TR"/>
        </w:rPr>
        <w:t>ihrakiye</w:t>
      </w:r>
      <w:proofErr w:type="spellEnd"/>
      <w:r w:rsidRPr="00806B22">
        <w:rPr>
          <w:rFonts w:ascii="Arial" w:eastAsia="Times New Roman" w:hAnsi="Arial" w:cs="Arial"/>
          <w:color w:val="000000"/>
          <w:sz w:val="17"/>
          <w:szCs w:val="17"/>
          <w:lang w:eastAsia="tr-TR"/>
        </w:rPr>
        <w:t xml:space="preserve"> teslim lisanslarının Özel Hükümler Bölümündeki “Pazarlama Projeksiyonu” başlığındaki “İthalatı Yapılacak Akaryakıtın Türü” alt başlığında “Jet yakıtı” ibaresinin bulunması ve pazarlama </w:t>
      </w:r>
      <w:proofErr w:type="gramStart"/>
      <w:r w:rsidRPr="00806B22">
        <w:rPr>
          <w:rFonts w:ascii="Arial" w:eastAsia="Times New Roman" w:hAnsi="Arial" w:cs="Arial"/>
          <w:color w:val="000000"/>
          <w:sz w:val="17"/>
          <w:szCs w:val="17"/>
          <w:lang w:eastAsia="tr-TR"/>
        </w:rPr>
        <w:t>projeksiyonuyla</w:t>
      </w:r>
      <w:proofErr w:type="gramEnd"/>
      <w:r w:rsidRPr="00806B22">
        <w:rPr>
          <w:rFonts w:ascii="Arial" w:eastAsia="Times New Roman" w:hAnsi="Arial" w:cs="Arial"/>
          <w:color w:val="000000"/>
          <w:sz w:val="17"/>
          <w:szCs w:val="17"/>
          <w:lang w:eastAsia="tr-TR"/>
        </w:rPr>
        <w:t xml:space="preserve"> uyumlu olması,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 Söz konusu yakıtın uçaklara verilmesi,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kaydıyla</w:t>
      </w:r>
      <w:proofErr w:type="gramEnd"/>
      <w:r w:rsidRPr="00806B22">
        <w:rPr>
          <w:rFonts w:ascii="Arial" w:eastAsia="Times New Roman" w:hAnsi="Arial" w:cs="Arial"/>
          <w:color w:val="000000"/>
          <w:sz w:val="17"/>
          <w:szCs w:val="17"/>
          <w:lang w:eastAsia="tr-TR"/>
        </w:rPr>
        <w:t xml:space="preserve"> serbest dolaşıma giriş işlemlerinin uçakların kalktığı havalimanlarında yetkili gümrük idareleri tarafından yapılması gerekmektedir.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11" w:name="M12"/>
      <w:r w:rsidRPr="00806B22">
        <w:rPr>
          <w:rFonts w:ascii="Arial" w:eastAsia="Times New Roman" w:hAnsi="Arial" w:cs="Arial"/>
          <w:b/>
          <w:bCs/>
          <w:color w:val="000000"/>
          <w:sz w:val="17"/>
          <w:szCs w:val="17"/>
          <w:lang w:eastAsia="tr-TR"/>
        </w:rPr>
        <w:t>12. Otomotiv İhtisas Gümrüğü Uygulaması</w:t>
      </w:r>
      <w:bookmarkEnd w:id="11"/>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 xml:space="preserve">Otomotiv ihtisas gümrüğü uygulaması 28.10.2003 tarihli ve 25273 sayılı Resmi Gazetede yayımlanan </w:t>
      </w:r>
      <w:hyperlink r:id="rId47" w:history="1">
        <w:r w:rsidRPr="00806B22">
          <w:rPr>
            <w:rFonts w:ascii="Arial" w:eastAsia="Times New Roman" w:hAnsi="Arial" w:cs="Arial"/>
            <w:color w:val="000080"/>
            <w:sz w:val="17"/>
            <w:u w:val="single"/>
            <w:lang w:eastAsia="tr-TR"/>
          </w:rPr>
          <w:t xml:space="preserve">27 Seri </w:t>
        </w:r>
        <w:proofErr w:type="spellStart"/>
        <w:r w:rsidRPr="00806B22">
          <w:rPr>
            <w:rFonts w:ascii="Arial" w:eastAsia="Times New Roman" w:hAnsi="Arial" w:cs="Arial"/>
            <w:color w:val="000080"/>
            <w:sz w:val="17"/>
            <w:u w:val="single"/>
            <w:lang w:eastAsia="tr-TR"/>
          </w:rPr>
          <w:t>Nolu</w:t>
        </w:r>
        <w:proofErr w:type="spellEnd"/>
      </w:hyperlink>
      <w:r w:rsidRPr="00806B22">
        <w:rPr>
          <w:rFonts w:ascii="Arial" w:eastAsia="Times New Roman" w:hAnsi="Arial" w:cs="Arial"/>
          <w:color w:val="000000"/>
          <w:sz w:val="17"/>
          <w:szCs w:val="17"/>
          <w:lang w:eastAsia="tr-TR"/>
        </w:rPr>
        <w:t xml:space="preserve"> ve 16.8.2005 tarihli ve 25908 sayılı Resmi Gazetede yayımlanan </w:t>
      </w:r>
      <w:hyperlink r:id="rId48" w:history="1">
        <w:r w:rsidRPr="00806B22">
          <w:rPr>
            <w:rFonts w:ascii="Arial" w:eastAsia="Times New Roman" w:hAnsi="Arial" w:cs="Arial"/>
            <w:color w:val="000080"/>
            <w:sz w:val="17"/>
            <w:u w:val="single"/>
            <w:lang w:eastAsia="tr-TR"/>
          </w:rPr>
          <w:t xml:space="preserve">40 Seri </w:t>
        </w:r>
        <w:proofErr w:type="spellStart"/>
        <w:r w:rsidRPr="00806B22">
          <w:rPr>
            <w:rFonts w:ascii="Arial" w:eastAsia="Times New Roman" w:hAnsi="Arial" w:cs="Arial"/>
            <w:color w:val="000080"/>
            <w:sz w:val="17"/>
            <w:u w:val="single"/>
            <w:lang w:eastAsia="tr-TR"/>
          </w:rPr>
          <w:t>Nolu</w:t>
        </w:r>
        <w:proofErr w:type="spellEnd"/>
        <w:r w:rsidRPr="00806B22">
          <w:rPr>
            <w:rFonts w:ascii="Arial" w:eastAsia="Times New Roman" w:hAnsi="Arial" w:cs="Arial"/>
            <w:color w:val="000080"/>
            <w:sz w:val="17"/>
            <w:u w:val="single"/>
            <w:lang w:eastAsia="tr-TR"/>
          </w:rPr>
          <w:t xml:space="preserve"> Gümrük Genel Tebliğleri</w:t>
        </w:r>
      </w:hyperlink>
      <w:r w:rsidRPr="00806B22">
        <w:rPr>
          <w:rFonts w:ascii="Arial" w:eastAsia="Times New Roman" w:hAnsi="Arial" w:cs="Arial"/>
          <w:color w:val="000000"/>
          <w:sz w:val="17"/>
          <w:szCs w:val="17"/>
          <w:lang w:eastAsia="tr-TR"/>
        </w:rPr>
        <w:t xml:space="preserve"> ile değişik 12.1.2001 tarihli ve 24285 sayılı Resmi Gazetede yayımlanan </w:t>
      </w:r>
      <w:hyperlink r:id="rId49" w:history="1">
        <w:r w:rsidRPr="00806B22">
          <w:rPr>
            <w:rFonts w:ascii="Arial" w:eastAsia="Times New Roman" w:hAnsi="Arial" w:cs="Arial"/>
            <w:color w:val="000080"/>
            <w:sz w:val="17"/>
            <w:u w:val="single"/>
            <w:lang w:eastAsia="tr-TR"/>
          </w:rPr>
          <w:t xml:space="preserve">5 Seri </w:t>
        </w:r>
        <w:proofErr w:type="spellStart"/>
        <w:r w:rsidRPr="00806B22">
          <w:rPr>
            <w:rFonts w:ascii="Arial" w:eastAsia="Times New Roman" w:hAnsi="Arial" w:cs="Arial"/>
            <w:color w:val="000080"/>
            <w:sz w:val="17"/>
            <w:u w:val="single"/>
            <w:lang w:eastAsia="tr-TR"/>
          </w:rPr>
          <w:t>Nolu</w:t>
        </w:r>
        <w:proofErr w:type="spellEnd"/>
        <w:r w:rsidRPr="00806B22">
          <w:rPr>
            <w:rFonts w:ascii="Arial" w:eastAsia="Times New Roman" w:hAnsi="Arial" w:cs="Arial"/>
            <w:color w:val="000080"/>
            <w:sz w:val="17"/>
            <w:u w:val="single"/>
            <w:lang w:eastAsia="tr-TR"/>
          </w:rPr>
          <w:t xml:space="preserve"> Gümrük Genel Tebliği</w:t>
        </w:r>
      </w:hyperlink>
      <w:r w:rsidRPr="00806B22">
        <w:rPr>
          <w:rFonts w:ascii="Arial" w:eastAsia="Times New Roman" w:hAnsi="Arial" w:cs="Arial"/>
          <w:color w:val="000000"/>
          <w:sz w:val="17"/>
          <w:szCs w:val="17"/>
          <w:lang w:eastAsia="tr-TR"/>
        </w:rPr>
        <w:t xml:space="preserve"> çerçevesinde yürütülmektedir. </w:t>
      </w:r>
      <w:proofErr w:type="gramEnd"/>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Bilindiği üzere 2918 sayılı Karayolları Trafik Kanununun 3 üncü maddesinde "taşıt", karayolunda insan, hayvan ve yük taşımaya yarayan araçlar olarak tanımlanmış, bunlardan makine gücü ile yürütülenlerin "motorlu taşıt" olduğu belirtilmiştir.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"İş makinesi" ise, yol inşaat makineleri ile benzeri tarım, sanayi, bayındırlık, milli savunma ile çeşitli kuruluşların iş ve hizmetlerinde kullanılan iş amacına göre üzerine çeşitli </w:t>
      </w:r>
      <w:proofErr w:type="gramStart"/>
      <w:r w:rsidRPr="00806B22">
        <w:rPr>
          <w:rFonts w:ascii="Arial" w:eastAsia="Times New Roman" w:hAnsi="Arial" w:cs="Arial"/>
          <w:color w:val="000000"/>
          <w:sz w:val="17"/>
          <w:szCs w:val="17"/>
          <w:lang w:eastAsia="tr-TR"/>
        </w:rPr>
        <w:t>ekipmanlar</w:t>
      </w:r>
      <w:proofErr w:type="gramEnd"/>
      <w:r w:rsidRPr="00806B22">
        <w:rPr>
          <w:rFonts w:ascii="Arial" w:eastAsia="Times New Roman" w:hAnsi="Arial" w:cs="Arial"/>
          <w:color w:val="000000"/>
          <w:sz w:val="17"/>
          <w:szCs w:val="17"/>
          <w:lang w:eastAsia="tr-TR"/>
        </w:rPr>
        <w:t xml:space="preserve"> monte edilmiş, karayolunda insan, hayvan ve yük taşınmasında kullanılmayan motorlu araçlar olarak tanımlanmıştır.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2918 sayılı Karayolları Trafik Kanunu uyarınca motorlu kara taşıtı, karayolunda insan, hayvan veya yük taşımaya yarayan araçlar olup, bu araçların serbest dolaşıma giriş işlemlerinin otomotiv ihtisas gümrük müdürlüklerinden gerçekleştirilmesi gerekmektedir. Bunun dışında yukarıda belirtilen amaçlarla trafiğe çıkmayan (tarım makineleri, yol inşaat makineleri vb) araçların serbest dolaşıma giriş işlemlerinin geldiği yetkili gümrük idaresinden gerçekleştirilmesi mümkün bulunmaktadır. </w:t>
      </w:r>
    </w:p>
    <w:p w:rsidR="00806B22" w:rsidRPr="00806B22" w:rsidRDefault="00806B22" w:rsidP="00806B22">
      <w:pPr>
        <w:spacing w:after="0" w:line="240" w:lineRule="auto"/>
        <w:jc w:val="both"/>
        <w:rPr>
          <w:rFonts w:ascii="Arial" w:eastAsia="Times New Roman" w:hAnsi="Arial" w:cs="Arial"/>
          <w:color w:val="000000"/>
          <w:sz w:val="17"/>
          <w:szCs w:val="17"/>
          <w:lang w:eastAsia="tr-TR"/>
        </w:rPr>
      </w:pPr>
      <w:bookmarkStart w:id="12" w:name="M13"/>
      <w:r w:rsidRPr="00806B22">
        <w:rPr>
          <w:rFonts w:ascii="Arial" w:eastAsia="Times New Roman" w:hAnsi="Arial" w:cs="Arial"/>
          <w:b/>
          <w:bCs/>
          <w:color w:val="000000"/>
          <w:sz w:val="17"/>
          <w:szCs w:val="17"/>
          <w:lang w:eastAsia="tr-TR"/>
        </w:rPr>
        <w:t>13. Lüks Lambası ve Cam Eşya İhtisas Gümrüğü Uygulaması</w:t>
      </w:r>
      <w:bookmarkEnd w:id="12"/>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Herhangi bir ülke ayrımı yapılmaksızın 70.13 tarife pozisyonunda yer alan cam eşya ile 94.05 tarife pozisyonunda yer alan lüks lambasının serbest dolaşıma giriş işlemleri, BİLGE sistemi bulunan tüm gümrük müdürlüklerinden yaptırılabilir.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13" w:name="M14"/>
      <w:r w:rsidRPr="00806B22">
        <w:rPr>
          <w:rFonts w:ascii="Arial" w:eastAsia="Times New Roman" w:hAnsi="Arial" w:cs="Arial"/>
          <w:b/>
          <w:bCs/>
          <w:color w:val="000000"/>
          <w:sz w:val="17"/>
          <w:szCs w:val="17"/>
          <w:lang w:eastAsia="tr-TR"/>
        </w:rPr>
        <w:t>14. Gıda İhtisas Gümrüğü Uygulaması</w:t>
      </w:r>
      <w:bookmarkEnd w:id="13"/>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color w:val="000000"/>
          <w:sz w:val="17"/>
          <w:szCs w:val="17"/>
          <w:lang w:eastAsia="tr-TR"/>
        </w:rPr>
        <w:t xml:space="preserve">Tarım ve </w:t>
      </w:r>
      <w:proofErr w:type="spellStart"/>
      <w:r w:rsidRPr="00806B22">
        <w:rPr>
          <w:rFonts w:ascii="Arial" w:eastAsia="Times New Roman" w:hAnsi="Arial" w:cs="Arial"/>
          <w:color w:val="000000"/>
          <w:sz w:val="17"/>
          <w:szCs w:val="17"/>
          <w:lang w:eastAsia="tr-TR"/>
        </w:rPr>
        <w:t>Köyişleri</w:t>
      </w:r>
      <w:proofErr w:type="spellEnd"/>
      <w:r w:rsidRPr="00806B22">
        <w:rPr>
          <w:rFonts w:ascii="Arial" w:eastAsia="Times New Roman" w:hAnsi="Arial" w:cs="Arial"/>
          <w:color w:val="000000"/>
          <w:sz w:val="17"/>
          <w:szCs w:val="17"/>
          <w:lang w:eastAsia="tr-TR"/>
        </w:rPr>
        <w:t xml:space="preserve"> Bakanlığı tarafından 1.3.2001 tarihli ve 24333 sayılı Resmi Gazetede yayımlanarak yürürlüğe giren ve anılan Bakanlığın muhtelif Tebliğleri ile değişik "</w:t>
      </w:r>
      <w:hyperlink r:id="rId50" w:history="1">
        <w:r w:rsidRPr="00806B22">
          <w:rPr>
            <w:rFonts w:ascii="Arial" w:eastAsia="Times New Roman" w:hAnsi="Arial" w:cs="Arial"/>
            <w:color w:val="000080"/>
            <w:sz w:val="17"/>
            <w:u w:val="single"/>
            <w:lang w:eastAsia="tr-TR"/>
          </w:rPr>
          <w:t>İthal ve İhraç edilecek Gıdaların Giriş ve Çıkış Kapılarının Tespit ve İlanına Dair Tebliğ</w:t>
        </w:r>
      </w:hyperlink>
      <w:r w:rsidRPr="00806B22">
        <w:rPr>
          <w:rFonts w:ascii="Arial" w:eastAsia="Times New Roman" w:hAnsi="Arial" w:cs="Arial"/>
          <w:color w:val="000000"/>
          <w:sz w:val="17"/>
          <w:szCs w:val="17"/>
          <w:lang w:eastAsia="tr-TR"/>
        </w:rPr>
        <w:t xml:space="preserve">" ile ithal veya ihraç edilecek tüm gıdaların ithal ve ihraç işlemlerinin tespit edilen bu gümrük müdürlüklerinden yapılması hüküm altına alınmıştır. </w:t>
      </w:r>
      <w:proofErr w:type="gramEnd"/>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Söz konusu Tebliğler ile tespit edilen gümrük müdürlüklerinden ihraç işlemleri yapılan ve ihraçtan geri dönen gıda maddelerinin </w:t>
      </w:r>
      <w:proofErr w:type="gramStart"/>
      <w:r w:rsidRPr="00806B22">
        <w:rPr>
          <w:rFonts w:ascii="Arial" w:eastAsia="Times New Roman" w:hAnsi="Arial" w:cs="Arial"/>
          <w:color w:val="000000"/>
          <w:sz w:val="17"/>
          <w:szCs w:val="17"/>
          <w:lang w:eastAsia="tr-TR"/>
        </w:rPr>
        <w:t>mezkur</w:t>
      </w:r>
      <w:proofErr w:type="gramEnd"/>
      <w:r w:rsidRPr="00806B22">
        <w:rPr>
          <w:rFonts w:ascii="Arial" w:eastAsia="Times New Roman" w:hAnsi="Arial" w:cs="Arial"/>
          <w:color w:val="000000"/>
          <w:sz w:val="17"/>
          <w:szCs w:val="17"/>
          <w:lang w:eastAsia="tr-TR"/>
        </w:rPr>
        <w:t xml:space="preserve"> Tebliğlerde yer alan ihraç kapılarında gerekli kontrolleri yapılmak koşuluyla yurt içi yapılması mümkün bulunmaktadır.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b/>
          <w:bCs/>
          <w:color w:val="000000"/>
          <w:sz w:val="17"/>
          <w:szCs w:val="17"/>
          <w:lang w:eastAsia="tr-TR"/>
        </w:rPr>
        <w:t>15.</w:t>
      </w:r>
      <w:r w:rsidRPr="00806B22">
        <w:rPr>
          <w:rFonts w:ascii="Arial" w:eastAsia="Times New Roman" w:hAnsi="Arial" w:cs="Arial"/>
          <w:color w:val="000000"/>
          <w:sz w:val="17"/>
          <w:szCs w:val="17"/>
          <w:lang w:eastAsia="tr-TR"/>
        </w:rPr>
        <w:t xml:space="preserve"> </w:t>
      </w:r>
      <w:hyperlink r:id="rId51" w:history="1">
        <w:proofErr w:type="gramStart"/>
        <w:r w:rsidRPr="00806B22">
          <w:rPr>
            <w:rFonts w:ascii="Arial" w:eastAsia="Times New Roman" w:hAnsi="Arial" w:cs="Arial"/>
            <w:color w:val="000080"/>
            <w:sz w:val="17"/>
            <w:u w:val="single"/>
            <w:lang w:eastAsia="tr-TR"/>
          </w:rPr>
          <w:t>1/10/2010</w:t>
        </w:r>
        <w:proofErr w:type="gramEnd"/>
        <w:r w:rsidRPr="00806B22">
          <w:rPr>
            <w:rFonts w:ascii="Arial" w:eastAsia="Times New Roman" w:hAnsi="Arial" w:cs="Arial"/>
            <w:color w:val="000080"/>
            <w:sz w:val="17"/>
            <w:u w:val="single"/>
            <w:lang w:eastAsia="tr-TR"/>
          </w:rPr>
          <w:t xml:space="preserve"> tarihli ve 2010/48 sayılı Genelge</w:t>
        </w:r>
      </w:hyperlink>
      <w:r w:rsidRPr="00806B22">
        <w:rPr>
          <w:rFonts w:ascii="Arial" w:eastAsia="Times New Roman" w:hAnsi="Arial" w:cs="Arial"/>
          <w:color w:val="000000"/>
          <w:sz w:val="17"/>
          <w:szCs w:val="17"/>
          <w:lang w:eastAsia="tr-TR"/>
        </w:rPr>
        <w:t xml:space="preserve"> ile </w:t>
      </w:r>
      <w:hyperlink r:id="rId52" w:history="1">
        <w:r w:rsidRPr="00806B22">
          <w:rPr>
            <w:rFonts w:ascii="Arial" w:eastAsia="Times New Roman" w:hAnsi="Arial" w:cs="Arial"/>
            <w:color w:val="000080"/>
            <w:sz w:val="17"/>
            <w:u w:val="single"/>
            <w:lang w:eastAsia="tr-TR"/>
          </w:rPr>
          <w:t>14/12/2010 tarihli ve 2010/56 sayılı Genelge</w:t>
        </w:r>
      </w:hyperlink>
      <w:r w:rsidRPr="00806B22">
        <w:rPr>
          <w:rFonts w:ascii="Arial" w:eastAsia="Times New Roman" w:hAnsi="Arial" w:cs="Arial"/>
          <w:color w:val="000000"/>
          <w:sz w:val="17"/>
          <w:szCs w:val="17"/>
          <w:lang w:eastAsia="tr-TR"/>
        </w:rPr>
        <w:t xml:space="preserve"> yürürlükten kaldırılmıştır.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lastRenderedPageBreak/>
        <w:t xml:space="preserve">Bilgi ve gereğini rica ederim.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  </w:t>
      </w:r>
    </w:p>
    <w:tbl>
      <w:tblPr>
        <w:tblW w:w="3000" w:type="pct"/>
        <w:tblCellSpacing w:w="15" w:type="dxa"/>
        <w:tblCellMar>
          <w:top w:w="15" w:type="dxa"/>
          <w:left w:w="15" w:type="dxa"/>
          <w:bottom w:w="15" w:type="dxa"/>
          <w:right w:w="15" w:type="dxa"/>
        </w:tblCellMar>
        <w:tblLook w:val="04A0"/>
      </w:tblPr>
      <w:tblGrid>
        <w:gridCol w:w="2748"/>
        <w:gridCol w:w="2749"/>
      </w:tblGrid>
      <w:tr w:rsidR="00806B22" w:rsidRPr="00806B22" w:rsidTr="00806B22">
        <w:trPr>
          <w:tblCellSpacing w:w="15" w:type="dxa"/>
        </w:trPr>
        <w:tc>
          <w:tcPr>
            <w:tcW w:w="25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p>
        </w:tc>
        <w:tc>
          <w:tcPr>
            <w:tcW w:w="25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S. Umman HAMİDOĞULLARI</w:t>
            </w:r>
          </w:p>
        </w:tc>
      </w:tr>
      <w:tr w:rsidR="00806B22" w:rsidRPr="00806B22" w:rsidTr="00806B22">
        <w:trPr>
          <w:tblCellSpacing w:w="15" w:type="dxa"/>
        </w:trPr>
        <w:tc>
          <w:tcPr>
            <w:tcW w:w="25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p>
        </w:tc>
        <w:tc>
          <w:tcPr>
            <w:tcW w:w="25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Müsteşar a.</w:t>
            </w:r>
          </w:p>
        </w:tc>
      </w:tr>
      <w:tr w:rsidR="00806B22" w:rsidRPr="00806B22" w:rsidTr="00806B22">
        <w:trPr>
          <w:tblCellSpacing w:w="15" w:type="dxa"/>
        </w:trPr>
        <w:tc>
          <w:tcPr>
            <w:tcW w:w="25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p>
        </w:tc>
        <w:tc>
          <w:tcPr>
            <w:tcW w:w="2500" w:type="pct"/>
            <w:vAlign w:val="center"/>
            <w:hideMark/>
          </w:tcPr>
          <w:p w:rsidR="00806B22" w:rsidRPr="00806B22" w:rsidRDefault="00806B22" w:rsidP="00806B22">
            <w:pPr>
              <w:spacing w:after="0"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Genel Müdür V.</w:t>
            </w:r>
          </w:p>
        </w:tc>
      </w:tr>
    </w:tbl>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gramStart"/>
      <w:r w:rsidRPr="00806B22">
        <w:rPr>
          <w:rFonts w:ascii="Arial" w:eastAsia="Times New Roman" w:hAnsi="Arial" w:cs="Arial"/>
          <w:b/>
          <w:bCs/>
          <w:color w:val="000000"/>
          <w:sz w:val="17"/>
          <w:szCs w:val="17"/>
          <w:u w:val="single"/>
          <w:lang w:eastAsia="tr-TR"/>
        </w:rPr>
        <w:t>DAĞITIM :</w:t>
      </w:r>
      <w:proofErr w:type="gramEnd"/>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Gümrük ve Muhafaza Başmüdürlükleri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14" w:name="Ek1"/>
      <w:r w:rsidRPr="00806B22">
        <w:rPr>
          <w:rFonts w:ascii="Arial" w:eastAsia="Times New Roman" w:hAnsi="Arial" w:cs="Arial"/>
          <w:b/>
          <w:bCs/>
          <w:color w:val="000000"/>
          <w:sz w:val="17"/>
          <w:szCs w:val="17"/>
          <w:lang w:eastAsia="tr-TR"/>
        </w:rPr>
        <w:t>EK-1:</w:t>
      </w:r>
      <w:r w:rsidRPr="00806B22">
        <w:rPr>
          <w:rFonts w:ascii="Arial" w:eastAsia="Times New Roman" w:hAnsi="Arial" w:cs="Arial"/>
          <w:color w:val="000000"/>
          <w:sz w:val="17"/>
          <w:szCs w:val="17"/>
          <w:lang w:eastAsia="tr-TR"/>
        </w:rPr>
        <w:t xml:space="preserve"> </w:t>
      </w:r>
      <w:bookmarkEnd w:id="14"/>
      <w:r w:rsidRPr="00806B22">
        <w:rPr>
          <w:rFonts w:ascii="Arial" w:eastAsia="Times New Roman" w:hAnsi="Arial" w:cs="Arial"/>
          <w:b/>
          <w:bCs/>
          <w:color w:val="000000"/>
          <w:sz w:val="17"/>
          <w:szCs w:val="17"/>
          <w:lang w:eastAsia="tr-TR"/>
        </w:rPr>
        <w:t xml:space="preserve">Halı İhtisas Gümrüğüne Tabi Eşyanın 2011 </w:t>
      </w:r>
      <w:proofErr w:type="spellStart"/>
      <w:r w:rsidRPr="00806B22">
        <w:rPr>
          <w:rFonts w:ascii="Arial" w:eastAsia="Times New Roman" w:hAnsi="Arial" w:cs="Arial"/>
          <w:b/>
          <w:bCs/>
          <w:color w:val="000000"/>
          <w:sz w:val="17"/>
          <w:szCs w:val="17"/>
          <w:lang w:eastAsia="tr-TR"/>
        </w:rPr>
        <w:t>TGTC'ye</w:t>
      </w:r>
      <w:proofErr w:type="spellEnd"/>
      <w:r w:rsidRPr="00806B22">
        <w:rPr>
          <w:rFonts w:ascii="Arial" w:eastAsia="Times New Roman" w:hAnsi="Arial" w:cs="Arial"/>
          <w:b/>
          <w:bCs/>
          <w:color w:val="000000"/>
          <w:sz w:val="17"/>
          <w:szCs w:val="17"/>
          <w:lang w:eastAsia="tr-TR"/>
        </w:rPr>
        <w:t xml:space="preserve"> Göre Güncellenmiş GTİP Listesi</w:t>
      </w:r>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5701.10 (Tarife Alt Pozisyonunun Tamamı),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5701.90.10.00.12,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5701.90.10.00.13,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5701.90.10.00.19,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5701.90.10.00.21,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5701.90.10.00.29,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5701.90.10.00.31,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5701.90.10.00.41,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5701.90.90.10.11,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5701.90.90.90.11,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5701.90.90.90.21,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5702.10 (Tarife Alt Pozisyonunun Tamamı),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5702.31.10.00.00,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5702.31.80.00.00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5702.39.00.00.99,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5702.41.10.00.00,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5702.41.90.00.00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5702.49.00.90.19,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5702.50.10.00.00,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5702.50.90.00.00,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5702.91.00.00.00,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5702.99.00.00.19,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lastRenderedPageBreak/>
        <w:t xml:space="preserve">5703.10.00.00.00,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5703.90.80.00.00,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5704.90.00.00.11,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5705.00.30.00.00,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5705.00.80.00.00,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bookmarkStart w:id="15" w:name="Ek2"/>
      <w:r w:rsidRPr="00806B22">
        <w:rPr>
          <w:rFonts w:ascii="Arial" w:eastAsia="Times New Roman" w:hAnsi="Arial" w:cs="Arial"/>
          <w:b/>
          <w:bCs/>
          <w:color w:val="000000"/>
          <w:sz w:val="17"/>
          <w:szCs w:val="17"/>
          <w:lang w:eastAsia="tr-TR"/>
        </w:rPr>
        <w:t>EK-2:</w:t>
      </w:r>
      <w:bookmarkEnd w:id="15"/>
      <w:r w:rsidRPr="00806B22">
        <w:rPr>
          <w:rFonts w:ascii="Arial" w:eastAsia="Times New Roman" w:hAnsi="Arial" w:cs="Arial"/>
          <w:color w:val="000000"/>
          <w:sz w:val="17"/>
          <w:szCs w:val="17"/>
          <w:lang w:eastAsia="tr-TR"/>
        </w:rPr>
        <w:t xml:space="preserve"> </w:t>
      </w:r>
      <w:r w:rsidRPr="00806B22">
        <w:rPr>
          <w:rFonts w:ascii="Arial" w:eastAsia="Times New Roman" w:hAnsi="Arial" w:cs="Arial"/>
          <w:b/>
          <w:bCs/>
          <w:color w:val="000000"/>
          <w:sz w:val="17"/>
          <w:szCs w:val="17"/>
          <w:lang w:eastAsia="tr-TR"/>
        </w:rPr>
        <w:t xml:space="preserve">Küçük Ev Aletleri İhtisas Gümrüğüne Tabi Eşyanın 2011 </w:t>
      </w:r>
      <w:proofErr w:type="spellStart"/>
      <w:r w:rsidRPr="00806B22">
        <w:rPr>
          <w:rFonts w:ascii="Arial" w:eastAsia="Times New Roman" w:hAnsi="Arial" w:cs="Arial"/>
          <w:b/>
          <w:bCs/>
          <w:color w:val="000000"/>
          <w:sz w:val="17"/>
          <w:szCs w:val="17"/>
          <w:lang w:eastAsia="tr-TR"/>
        </w:rPr>
        <w:t>TGTC'ye</w:t>
      </w:r>
      <w:proofErr w:type="spellEnd"/>
      <w:r w:rsidRPr="00806B22">
        <w:rPr>
          <w:rFonts w:ascii="Arial" w:eastAsia="Times New Roman" w:hAnsi="Arial" w:cs="Arial"/>
          <w:b/>
          <w:bCs/>
          <w:color w:val="000000"/>
          <w:sz w:val="17"/>
          <w:szCs w:val="17"/>
          <w:lang w:eastAsia="tr-TR"/>
        </w:rPr>
        <w:t xml:space="preserve"> Göre Güncellenmiş GTİP Listesi</w:t>
      </w:r>
      <w:r w:rsidRPr="00806B22">
        <w:rPr>
          <w:rFonts w:ascii="Arial" w:eastAsia="Times New Roman" w:hAnsi="Arial" w:cs="Arial"/>
          <w:color w:val="000000"/>
          <w:sz w:val="17"/>
          <w:szCs w:val="17"/>
          <w:lang w:eastAsia="tr-TR"/>
        </w:rPr>
        <w:t xml:space="preserve"> </w:t>
      </w:r>
    </w:p>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  </w:t>
      </w:r>
    </w:p>
    <w:tbl>
      <w:tblPr>
        <w:tblW w:w="6216" w:type="dxa"/>
        <w:tblCellSpacing w:w="15" w:type="dxa"/>
        <w:tblCellMar>
          <w:top w:w="15" w:type="dxa"/>
          <w:left w:w="15" w:type="dxa"/>
          <w:bottom w:w="15" w:type="dxa"/>
          <w:right w:w="15" w:type="dxa"/>
        </w:tblCellMar>
        <w:tblLook w:val="04A0"/>
      </w:tblPr>
      <w:tblGrid>
        <w:gridCol w:w="3547"/>
        <w:gridCol w:w="2669"/>
      </w:tblGrid>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b/>
                <w:bCs/>
                <w:color w:val="000000"/>
                <w:sz w:val="17"/>
                <w:szCs w:val="17"/>
                <w:lang w:eastAsia="tr-TR"/>
              </w:rPr>
              <w:t>EŞYA İSMİ</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b/>
                <w:bCs/>
                <w:color w:val="000000"/>
                <w:sz w:val="17"/>
                <w:szCs w:val="17"/>
                <w:lang w:eastAsia="tr-TR"/>
              </w:rPr>
              <w:t> GTİP NO</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Gazlı Ocak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7321.11.90.00.11</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Vantilatör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8414.51.00.20.00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Mini buzdolabı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8418.21.91.00.00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Vakumlama cihazı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8422.40.00.00.00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Banyo baskülü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8423.10.90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Vakumlu elektrikli süpürge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8508.11.00.00.11</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Masaüstü süpürge ve vakumlu elektrikli süpürge</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8508.11.00.00.19</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Vakumlu elektrikli süpürge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8508.19.00.00.00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Vakumlu elektrikli süpürge</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8508.60.00.00.00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Doğrayıcı (Öğütücü) ve kahve öğütücüsü</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8509.40.00.00.11</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Mikser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8509.40.00.00.12</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Blender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8509.40.00.00.13</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Meyve ve sebze sıkacağı</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8509.40.00.00.14</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Mutfak Robotu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8509.40.00.00.15</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Et kıyma makinesi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8509.80.00.00.11</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Su Isıtıcıları</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8516.10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Yağlı radyatör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8516.29.10.00.00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Elektrikli ısıtıcı/soba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8516.29.99.00.11</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Kuru radyatör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8516.29.99.00.19</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Saç kurutucular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8516.31</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Elektrikli ütü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8516.40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spellStart"/>
            <w:r w:rsidRPr="00806B22">
              <w:rPr>
                <w:rFonts w:ascii="Arial" w:eastAsia="Times New Roman" w:hAnsi="Arial" w:cs="Arial"/>
                <w:color w:val="000000"/>
                <w:sz w:val="17"/>
                <w:szCs w:val="17"/>
                <w:lang w:eastAsia="tr-TR"/>
              </w:rPr>
              <w:t>Hotplate</w:t>
            </w:r>
            <w:proofErr w:type="spellEnd"/>
            <w:r w:rsidRPr="00806B22">
              <w:rPr>
                <w:rFonts w:ascii="Arial" w:eastAsia="Times New Roman" w:hAnsi="Arial" w:cs="Arial"/>
                <w:color w:val="000000"/>
                <w:sz w:val="17"/>
                <w:szCs w:val="17"/>
                <w:lang w:eastAsia="tr-TR"/>
              </w:rPr>
              <w:t> (ısıtma levhası)</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8516.60.50.00.00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Izgara - kızartma cihazları, </w:t>
            </w:r>
            <w:proofErr w:type="spellStart"/>
            <w:r w:rsidRPr="00806B22">
              <w:rPr>
                <w:rFonts w:ascii="Arial" w:eastAsia="Times New Roman" w:hAnsi="Arial" w:cs="Arial"/>
                <w:color w:val="000000"/>
                <w:sz w:val="17"/>
                <w:szCs w:val="17"/>
                <w:lang w:eastAsia="tr-TR"/>
              </w:rPr>
              <w:t>grill</w:t>
            </w:r>
            <w:proofErr w:type="spellEnd"/>
            <w:r w:rsidRPr="00806B22">
              <w:rPr>
                <w:rFonts w:ascii="Arial" w:eastAsia="Times New Roman" w:hAnsi="Arial" w:cs="Arial"/>
                <w:color w:val="000000"/>
                <w:sz w:val="17"/>
                <w:szCs w:val="17"/>
                <w:lang w:eastAsia="tr-TR"/>
              </w:rPr>
              <w:t>, elektrikli barbekü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8516.60.70.00.00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Tost makinesi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8516.60.90.00.11</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 xml:space="preserve">Termostatlı ve </w:t>
            </w:r>
            <w:proofErr w:type="spellStart"/>
            <w:r w:rsidRPr="00806B22">
              <w:rPr>
                <w:rFonts w:ascii="Arial" w:eastAsia="Times New Roman" w:hAnsi="Arial" w:cs="Arial"/>
                <w:color w:val="000000"/>
                <w:sz w:val="17"/>
                <w:szCs w:val="17"/>
                <w:lang w:eastAsia="tr-TR"/>
              </w:rPr>
              <w:t>timerli</w:t>
            </w:r>
            <w:proofErr w:type="spellEnd"/>
            <w:r w:rsidRPr="00806B22">
              <w:rPr>
                <w:rFonts w:ascii="Arial" w:eastAsia="Times New Roman" w:hAnsi="Arial" w:cs="Arial"/>
                <w:color w:val="000000"/>
                <w:sz w:val="17"/>
                <w:szCs w:val="17"/>
                <w:lang w:eastAsia="tr-TR"/>
              </w:rPr>
              <w:t xml:space="preserve"> mini fırın ile pirinç ve ekmek pişirme makineleri</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8516.60.90.00.19</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Çay ve kahve makinesi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8516.71.00.00.00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Ekmek Kızartma Makinesi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8516.72.00.00.00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Fritöz</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8516.79.20.00.00</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proofErr w:type="spellStart"/>
            <w:r w:rsidRPr="00806B22">
              <w:rPr>
                <w:rFonts w:ascii="Arial" w:eastAsia="Times New Roman" w:hAnsi="Arial" w:cs="Arial"/>
                <w:color w:val="000000"/>
                <w:sz w:val="17"/>
                <w:szCs w:val="17"/>
                <w:lang w:eastAsia="tr-TR"/>
              </w:rPr>
              <w:t>Kettle</w:t>
            </w:r>
            <w:proofErr w:type="spellEnd"/>
            <w:r w:rsidRPr="00806B22">
              <w:rPr>
                <w:rFonts w:ascii="Arial" w:eastAsia="Times New Roman" w:hAnsi="Arial" w:cs="Arial"/>
                <w:color w:val="000000"/>
                <w:sz w:val="17"/>
                <w:szCs w:val="17"/>
                <w:lang w:eastAsia="tr-TR"/>
              </w:rPr>
              <w:t> </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8516.79.70.00.11</w:t>
            </w:r>
          </w:p>
        </w:tc>
      </w:tr>
      <w:tr w:rsidR="00806B22" w:rsidRPr="00806B22" w:rsidTr="00806B22">
        <w:trPr>
          <w:tblCellSpacing w:w="15" w:type="dxa"/>
        </w:trPr>
        <w:tc>
          <w:tcPr>
            <w:tcW w:w="3444"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Yumurta Pişirme Makinesi, yoğurt makinesi ve mısır patlatıcısı</w:t>
            </w:r>
          </w:p>
        </w:tc>
        <w:tc>
          <w:tcPr>
            <w:tcW w:w="2580" w:type="dxa"/>
            <w:vAlign w:val="center"/>
            <w:hideMark/>
          </w:tcPr>
          <w:p w:rsidR="00806B22" w:rsidRPr="00806B22" w:rsidRDefault="00806B22" w:rsidP="00806B22">
            <w:pPr>
              <w:spacing w:before="100" w:beforeAutospacing="1" w:after="100" w:afterAutospacing="1" w:line="240" w:lineRule="auto"/>
              <w:jc w:val="both"/>
              <w:rPr>
                <w:rFonts w:ascii="Arial" w:eastAsia="Times New Roman" w:hAnsi="Arial" w:cs="Arial"/>
                <w:color w:val="000000"/>
                <w:sz w:val="17"/>
                <w:szCs w:val="17"/>
                <w:lang w:eastAsia="tr-TR"/>
              </w:rPr>
            </w:pPr>
            <w:r w:rsidRPr="00806B22">
              <w:rPr>
                <w:rFonts w:ascii="Arial" w:eastAsia="Times New Roman" w:hAnsi="Arial" w:cs="Arial"/>
                <w:color w:val="000000"/>
                <w:sz w:val="17"/>
                <w:szCs w:val="17"/>
                <w:lang w:eastAsia="tr-TR"/>
              </w:rPr>
              <w:t>8516.79.70.00.19</w:t>
            </w:r>
          </w:p>
        </w:tc>
      </w:tr>
    </w:tbl>
    <w:p w:rsidR="005B3853" w:rsidRDefault="00806B22" w:rsidP="00806B22">
      <w:pPr>
        <w:spacing w:before="100" w:beforeAutospacing="1" w:after="100" w:afterAutospacing="1" w:line="240" w:lineRule="auto"/>
        <w:jc w:val="both"/>
      </w:pPr>
      <w:r w:rsidRPr="00806B22">
        <w:rPr>
          <w:rFonts w:ascii="Arial" w:eastAsia="Times New Roman" w:hAnsi="Arial" w:cs="Arial"/>
          <w:color w:val="000000"/>
          <w:sz w:val="17"/>
          <w:szCs w:val="17"/>
          <w:lang w:eastAsia="tr-TR"/>
        </w:rPr>
        <w:t> </w:t>
      </w:r>
    </w:p>
    <w:sectPr w:rsidR="005B3853" w:rsidSect="005B3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7A24"/>
    <w:multiLevelType w:val="multilevel"/>
    <w:tmpl w:val="0298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6B22"/>
    <w:rsid w:val="005B3853"/>
    <w:rsid w:val="00806B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06B22"/>
    <w:rPr>
      <w:color w:val="000080"/>
      <w:u w:val="single"/>
    </w:rPr>
  </w:style>
  <w:style w:type="paragraph" w:styleId="NormalWeb">
    <w:name w:val="Normal (Web)"/>
    <w:basedOn w:val="Normal"/>
    <w:uiPriority w:val="99"/>
    <w:unhideWhenUsed/>
    <w:rsid w:val="00806B22"/>
    <w:pPr>
      <w:spacing w:before="100" w:beforeAutospacing="1" w:after="100" w:afterAutospacing="1" w:line="240" w:lineRule="auto"/>
      <w:jc w:val="both"/>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20893606">
      <w:bodyDiv w:val="1"/>
      <w:marLeft w:val="120"/>
      <w:marRight w:val="120"/>
      <w:marTop w:val="0"/>
      <w:marBottom w:val="0"/>
      <w:divBdr>
        <w:top w:val="none" w:sz="0" w:space="0" w:color="auto"/>
        <w:left w:val="none" w:sz="0" w:space="0" w:color="auto"/>
        <w:bottom w:val="none" w:sz="0" w:space="0" w:color="auto"/>
        <w:right w:val="none" w:sz="0" w:space="0" w:color="auto"/>
      </w:divBdr>
      <w:divsChild>
        <w:div w:id="1866863214">
          <w:marLeft w:val="0"/>
          <w:marRight w:val="0"/>
          <w:marTop w:val="0"/>
          <w:marBottom w:val="0"/>
          <w:divBdr>
            <w:top w:val="none" w:sz="0" w:space="0" w:color="auto"/>
            <w:left w:val="none" w:sz="0" w:space="0" w:color="auto"/>
            <w:bottom w:val="none" w:sz="0" w:space="0" w:color="auto"/>
            <w:right w:val="none" w:sz="0" w:space="0" w:color="auto"/>
          </w:divBdr>
          <w:divsChild>
            <w:div w:id="257905360">
              <w:marLeft w:val="0"/>
              <w:marRight w:val="0"/>
              <w:marTop w:val="0"/>
              <w:marBottom w:val="0"/>
              <w:divBdr>
                <w:top w:val="none" w:sz="0" w:space="0" w:color="auto"/>
                <w:left w:val="none" w:sz="0" w:space="0" w:color="auto"/>
                <w:bottom w:val="none" w:sz="0" w:space="0" w:color="auto"/>
                <w:right w:val="none" w:sz="0" w:space="0" w:color="auto"/>
              </w:divBdr>
            </w:div>
            <w:div w:id="1284994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663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54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054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509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0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149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8049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403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60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59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77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vzuat.net/gumruk/genelge/2011/ggm201103.aspx" TargetMode="External"/><Relationship Id="rId18" Type="http://schemas.openxmlformats.org/officeDocument/2006/relationships/hyperlink" Target="http://www.mevzuat.net/gumruk/genelge/2011/ggm201103.aspx" TargetMode="External"/><Relationship Id="rId26" Type="http://schemas.openxmlformats.org/officeDocument/2006/relationships/hyperlink" Target="http://www.mevzuat.net/gumruk/kanun/kanun4458_s26.aspx" TargetMode="External"/><Relationship Id="rId39" Type="http://schemas.openxmlformats.org/officeDocument/2006/relationships/hyperlink" Target="http://www.mevzuat.net/gumruk/teblig/gumrukislemlerisira51.aspx" TargetMode="External"/><Relationship Id="rId3" Type="http://schemas.openxmlformats.org/officeDocument/2006/relationships/settings" Target="settings.xml"/><Relationship Id="rId21" Type="http://schemas.openxmlformats.org/officeDocument/2006/relationships/hyperlink" Target="http://www.mevzuat.net/gumruk/genelge/2011/ggm201103.aspx" TargetMode="External"/><Relationship Id="rId34" Type="http://schemas.openxmlformats.org/officeDocument/2006/relationships/hyperlink" Target="http://www.mevzuat.net/gumruk/kanun/kanun4458_s26.aspx" TargetMode="External"/><Relationship Id="rId42" Type="http://schemas.openxmlformats.org/officeDocument/2006/relationships/hyperlink" Target="http://www.mevzuat.net/ithalat/dgtbl01032001.aspx" TargetMode="External"/><Relationship Id="rId47" Type="http://schemas.openxmlformats.org/officeDocument/2006/relationships/hyperlink" Target="http://www.mevzuat.net/gumruk/teblig/gumrukislemleriseri27.aspx" TargetMode="External"/><Relationship Id="rId50" Type="http://schemas.openxmlformats.org/officeDocument/2006/relationships/hyperlink" Target="http://www.mevzuat.net/ithalat/dgtbl01032001.aspx" TargetMode="External"/><Relationship Id="rId7" Type="http://schemas.openxmlformats.org/officeDocument/2006/relationships/hyperlink" Target="http://www.mevzuat.net/gumruk/genelge/2011/ggm201103.aspx" TargetMode="External"/><Relationship Id="rId12" Type="http://schemas.openxmlformats.org/officeDocument/2006/relationships/hyperlink" Target="http://www.mevzuat.net/gumruk/genelge/2011/ggm201103.aspx" TargetMode="External"/><Relationship Id="rId17" Type="http://schemas.openxmlformats.org/officeDocument/2006/relationships/hyperlink" Target="http://www.mevzuat.net/gumruk/genelge/2011/ggm201103.aspx" TargetMode="External"/><Relationship Id="rId25" Type="http://schemas.openxmlformats.org/officeDocument/2006/relationships/hyperlink" Target="http://www.mevzuat.net/gumruk/kanun/kanun4458_s26.aspx" TargetMode="External"/><Relationship Id="rId33" Type="http://schemas.openxmlformats.org/officeDocument/2006/relationships/hyperlink" Target="http://www.mevzuat.net/gumruk/kanun/kanun4458_s21.aspx" TargetMode="External"/><Relationship Id="rId38" Type="http://schemas.openxmlformats.org/officeDocument/2006/relationships/hyperlink" Target="http://www.mevzuat.net/ithalat/tkbtebligno38.aspx" TargetMode="External"/><Relationship Id="rId46" Type="http://schemas.openxmlformats.org/officeDocument/2006/relationships/hyperlink" Target="http://www.mevzuat.net/gumruk/teblig/2005/gislemseri37.aspx" TargetMode="External"/><Relationship Id="rId2" Type="http://schemas.openxmlformats.org/officeDocument/2006/relationships/styles" Target="styles.xml"/><Relationship Id="rId16" Type="http://schemas.openxmlformats.org/officeDocument/2006/relationships/hyperlink" Target="http://www.mevzuat.net/gumruk/genelge/2011/ggm201103.aspx" TargetMode="External"/><Relationship Id="rId20" Type="http://schemas.openxmlformats.org/officeDocument/2006/relationships/hyperlink" Target="http://www.mevzuat.net/gumruk/kanun/kanun4458_s26.aspx" TargetMode="External"/><Relationship Id="rId29" Type="http://schemas.openxmlformats.org/officeDocument/2006/relationships/hyperlink" Target="file:///\\infosrv\srvc\inet\wwwroot\mevzuat\gumruk\kanun\kanun4458_s21.aspx" TargetMode="External"/><Relationship Id="rId41" Type="http://schemas.openxmlformats.org/officeDocument/2006/relationships/hyperlink" Target="http://www.mevzuat.net/gumruk/gumruk/teblig/2008/gislemseri67.asp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vzuat.net/gumruk/genelge/2011/ggm201103.aspx" TargetMode="External"/><Relationship Id="rId11" Type="http://schemas.openxmlformats.org/officeDocument/2006/relationships/hyperlink" Target="http://www.mevzuat.net/gumruk/genelge/2011/ggm201103.aspx" TargetMode="External"/><Relationship Id="rId24" Type="http://schemas.openxmlformats.org/officeDocument/2006/relationships/hyperlink" Target="file:///\\infosrv\srvc\inet\wwwroot\mevzuat\gumruk\kanun\kanun4458_s21.aspx" TargetMode="External"/><Relationship Id="rId32" Type="http://schemas.openxmlformats.org/officeDocument/2006/relationships/hyperlink" Target="http://www.mevzuat.net/gumruk/kanun/kanun4458_s26.aspx" TargetMode="External"/><Relationship Id="rId37" Type="http://schemas.openxmlformats.org/officeDocument/2006/relationships/hyperlink" Target="http://www.mevzuat.net/ithalat/dgtbl01032001.aspx" TargetMode="External"/><Relationship Id="rId40" Type="http://schemas.openxmlformats.org/officeDocument/2006/relationships/hyperlink" Target="http://www.mevzuat.net/gumruk/teblig/2005/gislemseri38.aspx" TargetMode="External"/><Relationship Id="rId45" Type="http://schemas.openxmlformats.org/officeDocument/2006/relationships/hyperlink" Target="http://www.mevzuat.net/gumruk/teblig/2005/gislemseri58.aspx" TargetMode="External"/><Relationship Id="rId53" Type="http://schemas.openxmlformats.org/officeDocument/2006/relationships/fontTable" Target="fontTable.xml"/><Relationship Id="rId5" Type="http://schemas.openxmlformats.org/officeDocument/2006/relationships/hyperlink" Target="http://www.mevzuat.net/gumruk/genelge/2011/ggm201103.aspx" TargetMode="External"/><Relationship Id="rId15" Type="http://schemas.openxmlformats.org/officeDocument/2006/relationships/hyperlink" Target="http://www.mevzuat.net/gumruk/genelge/2011/ggm201103.aspx" TargetMode="External"/><Relationship Id="rId23" Type="http://schemas.openxmlformats.org/officeDocument/2006/relationships/hyperlink" Target="http://www.mevzuat.net/gumruk/genelge/2011/ggm201103.aspx" TargetMode="External"/><Relationship Id="rId28" Type="http://schemas.openxmlformats.org/officeDocument/2006/relationships/hyperlink" Target="file:///\\infosrv\srvc\inet\wwwroot\mevzuat\gumruk\kanun\kanun4458_s26.aspx" TargetMode="External"/><Relationship Id="rId36" Type="http://schemas.openxmlformats.org/officeDocument/2006/relationships/hyperlink" Target="http://www.mevzuat.net/gumruk/kanun/kanun4458_s26.aspx" TargetMode="External"/><Relationship Id="rId49" Type="http://schemas.openxmlformats.org/officeDocument/2006/relationships/hyperlink" Target="http://www.mevzuat.net/gumruk/teblig/gumrukisleriotomotiv05.aspx" TargetMode="External"/><Relationship Id="rId10" Type="http://schemas.openxmlformats.org/officeDocument/2006/relationships/hyperlink" Target="http://www.mevzuat.net/gumruk/genelge/2011/ggm201103.aspx" TargetMode="External"/><Relationship Id="rId19" Type="http://schemas.openxmlformats.org/officeDocument/2006/relationships/hyperlink" Target="http://www.mevzuat.net/gumruk/kanun/kanun4458_s21.aspx" TargetMode="External"/><Relationship Id="rId31" Type="http://schemas.openxmlformats.org/officeDocument/2006/relationships/hyperlink" Target="http://www.mevzuat.net/gumruk/kanun/kanun4458_s21.aspx" TargetMode="External"/><Relationship Id="rId44" Type="http://schemas.openxmlformats.org/officeDocument/2006/relationships/hyperlink" Target="http://www.mevzuat.net/gumruk/teblig/2005/gislemseri56.aspx" TargetMode="External"/><Relationship Id="rId52" Type="http://schemas.openxmlformats.org/officeDocument/2006/relationships/hyperlink" Target="http://www.mevzuat.net/gumruk/genelge/2010/ggm201056.aspx" TargetMode="External"/><Relationship Id="rId4" Type="http://schemas.openxmlformats.org/officeDocument/2006/relationships/webSettings" Target="webSettings.xml"/><Relationship Id="rId9" Type="http://schemas.openxmlformats.org/officeDocument/2006/relationships/hyperlink" Target="http://www.mevzuat.net/gumruk/genelge/2011/ggm201103.aspx" TargetMode="External"/><Relationship Id="rId14" Type="http://schemas.openxmlformats.org/officeDocument/2006/relationships/hyperlink" Target="http://www.mevzuat.net/gumruk/genelge/2011/ggm201103.aspx" TargetMode="External"/><Relationship Id="rId22" Type="http://schemas.openxmlformats.org/officeDocument/2006/relationships/hyperlink" Target="http://www.mevzuat.net/gumruk/teblig/2007/gislemseri55.aspx" TargetMode="External"/><Relationship Id="rId27" Type="http://schemas.openxmlformats.org/officeDocument/2006/relationships/hyperlink" Target="http://www.mevzuat.net/gumruk/kanun/kanun4458_s21.aspx" TargetMode="External"/><Relationship Id="rId30" Type="http://schemas.openxmlformats.org/officeDocument/2006/relationships/hyperlink" Target="http://www.mevzuat.net/gumruk/kanun/kanun4458_s25.aspx" TargetMode="External"/><Relationship Id="rId35" Type="http://schemas.openxmlformats.org/officeDocument/2006/relationships/hyperlink" Target="http://www.mevzuat.net/gumruk/kanun/kanun4458_s21.aspx" TargetMode="External"/><Relationship Id="rId43" Type="http://schemas.openxmlformats.org/officeDocument/2006/relationships/hyperlink" Target="http://www.mevzuat.net/gumruk/teblig/2008/gislemseri67.aspx" TargetMode="External"/><Relationship Id="rId48" Type="http://schemas.openxmlformats.org/officeDocument/2006/relationships/hyperlink" Target="http://www.mevzuat.net/gumruk/teblig/2005/gislemseri40.aspx" TargetMode="External"/><Relationship Id="rId8" Type="http://schemas.openxmlformats.org/officeDocument/2006/relationships/hyperlink" Target="http://www.mevzuat.net/gumruk/genelge/2011/ggm201103.aspx" TargetMode="External"/><Relationship Id="rId51" Type="http://schemas.openxmlformats.org/officeDocument/2006/relationships/hyperlink" Target="http://www.mevzuat.net/gumruk/genelge/2010/ggm201048.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3763</Words>
  <Characters>21451</Characters>
  <Application>Microsoft Office Word</Application>
  <DocSecurity>0</DocSecurity>
  <Lines>178</Lines>
  <Paragraphs>50</Paragraphs>
  <ScaleCrop>false</ScaleCrop>
  <Company/>
  <LinksUpToDate>false</LinksUpToDate>
  <CharactersWithSpaces>25164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DEMİREL</dc:creator>
  <cp:lastModifiedBy>Okan DEMİREL</cp:lastModifiedBy>
  <cp:revision>1</cp:revision>
  <dcterms:created xsi:type="dcterms:W3CDTF">2011-02-18T15:57:00Z</dcterms:created>
  <dcterms:modified xsi:type="dcterms:W3CDTF">2011-02-18T15:58:00Z</dcterms:modified>
</cp:coreProperties>
</file>